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eastAsia="黑体"/>
          <w:b/>
          <w:kern w:val="44"/>
          <w:sz w:val="32"/>
          <w:lang w:val="zh-CN"/>
        </w:rPr>
      </w:pPr>
      <w:bookmarkStart w:id="0" w:name="_Toc105667379"/>
      <w:r>
        <w:rPr>
          <w:rFonts w:eastAsia="黑体"/>
          <w:b/>
          <w:kern w:val="44"/>
          <w:sz w:val="32"/>
          <w:lang w:val="zh-CN"/>
        </w:rPr>
        <w:t>交通运输工程</w:t>
      </w:r>
      <w:r>
        <w:rPr>
          <w:rFonts w:hint="eastAsia" w:eastAsia="黑体"/>
          <w:b/>
          <w:kern w:val="44"/>
          <w:sz w:val="32"/>
          <w:lang w:val="zh-CN"/>
        </w:rPr>
        <w:t>（硕士起点）学术学位</w:t>
      </w:r>
      <w:r>
        <w:rPr>
          <w:rFonts w:eastAsia="黑体"/>
          <w:b/>
          <w:kern w:val="44"/>
          <w:sz w:val="32"/>
          <w:lang w:val="zh-CN"/>
        </w:rPr>
        <w:t>博士研究生培养方案</w:t>
      </w:r>
      <w:bookmarkEnd w:id="0"/>
    </w:p>
    <w:p>
      <w:pPr>
        <w:keepNext/>
        <w:spacing w:after="312" w:afterLines="100" w:line="360" w:lineRule="auto"/>
        <w:jc w:val="center"/>
        <w:outlineLvl w:val="1"/>
        <w:rPr>
          <w:sz w:val="24"/>
          <w:lang w:val="zh-CN"/>
        </w:rPr>
      </w:pPr>
      <w:bookmarkStart w:id="1" w:name="_Toc15634647"/>
      <w:bookmarkStart w:id="2" w:name="_Toc15120086"/>
      <w:bookmarkStart w:id="3" w:name="_Toc14518226"/>
      <w:r>
        <w:rPr>
          <w:sz w:val="24"/>
          <w:lang w:val="zh-CN"/>
        </w:rPr>
        <w:t>（学科代码：0823，申请工学博士学位适用）</w:t>
      </w:r>
      <w:bookmarkEnd w:id="1"/>
      <w:bookmarkEnd w:id="2"/>
      <w:bookmarkEnd w:id="3"/>
    </w:p>
    <w:p>
      <w:pPr>
        <w:keepNext/>
        <w:spacing w:before="156" w:beforeLines="50" w:after="156" w:afterLines="50"/>
        <w:outlineLvl w:val="2"/>
        <w:rPr>
          <w:b/>
          <w:sz w:val="24"/>
          <w:lang w:val="zh-CN"/>
        </w:rPr>
      </w:pPr>
      <w:bookmarkStart w:id="4" w:name="_Toc20526"/>
      <w:r>
        <w:rPr>
          <w:b/>
          <w:sz w:val="24"/>
          <w:lang w:val="zh-CN"/>
        </w:rPr>
        <w:t>一、培养目标</w:t>
      </w:r>
      <w:bookmarkEnd w:id="4"/>
    </w:p>
    <w:p>
      <w:pPr>
        <w:spacing w:line="400" w:lineRule="exact"/>
        <w:ind w:firstLine="480" w:firstLineChars="200"/>
        <w:rPr>
          <w:bCs/>
          <w:sz w:val="24"/>
        </w:rPr>
      </w:pPr>
      <w:r>
        <w:rPr>
          <w:rFonts w:hint="eastAsia"/>
          <w:bCs/>
          <w:sz w:val="24"/>
        </w:rPr>
        <w:t>以习近平新时代中国特色社会主义思想为指导，落实立德树人根本任务，对接国家“交通强国”战略和“一带一路”倡议，瞄准交通领域学术前沿，融合“交通+新技术”多专业融合的鲜明特色，培养德智体美劳五育并举，具有坚定的理想信念，掌握扎实的理论基础、系统的专业知识，了解学科前沿动态，具备独立从事科学研究并取得创造性研究成果的突出能力，具有国际竞争力的引领交通学科前沿发展的学术领军后备人才。具体要求为：</w:t>
      </w:r>
    </w:p>
    <w:p>
      <w:pPr>
        <w:adjustRightInd w:val="0"/>
        <w:snapToGrid w:val="0"/>
        <w:spacing w:line="400" w:lineRule="exact"/>
        <w:ind w:firstLine="480" w:firstLineChars="200"/>
        <w:rPr>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pPr>
        <w:adjustRightInd w:val="0"/>
        <w:snapToGrid w:val="0"/>
        <w:spacing w:line="400" w:lineRule="exact"/>
        <w:ind w:firstLine="480" w:firstLineChars="200"/>
        <w:rPr>
          <w:sz w:val="24"/>
        </w:rPr>
      </w:pPr>
      <w:r>
        <w:rPr>
          <w:rFonts w:hint="eastAsia"/>
          <w:sz w:val="24"/>
        </w:rPr>
        <w:t>（二）</w:t>
      </w:r>
      <w:r>
        <w:rPr>
          <w:rFonts w:hint="eastAsia"/>
          <w:bCs/>
          <w:sz w:val="24"/>
        </w:rPr>
        <w:t>具有交通运输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pPr>
        <w:adjustRightInd w:val="0"/>
        <w:snapToGrid w:val="0"/>
        <w:spacing w:line="400" w:lineRule="exact"/>
        <w:ind w:firstLine="480" w:firstLineChars="200"/>
        <w:rPr>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pPr>
        <w:adjustRightInd w:val="0"/>
        <w:snapToGrid w:val="0"/>
        <w:spacing w:line="400" w:lineRule="exact"/>
        <w:ind w:firstLine="480" w:firstLineChars="200"/>
        <w:rPr>
          <w:sz w:val="24"/>
        </w:rPr>
      </w:pPr>
      <w:r>
        <w:rPr>
          <w:rFonts w:hint="eastAsia"/>
          <w:sz w:val="24"/>
        </w:rPr>
        <w:t>（四）</w:t>
      </w:r>
      <w:r>
        <w:rPr>
          <w:rFonts w:hint="eastAsia"/>
          <w:bCs/>
          <w:sz w:val="24"/>
        </w:rPr>
        <w:t>积极参加社会实践、社会志愿服务、创新创业等活动，形成良好劳动习惯。</w:t>
      </w:r>
    </w:p>
    <w:p>
      <w:pPr>
        <w:keepNext/>
        <w:spacing w:before="156" w:beforeLines="50" w:after="156" w:afterLines="50"/>
        <w:outlineLvl w:val="2"/>
        <w:rPr>
          <w:b/>
          <w:sz w:val="24"/>
          <w:lang w:val="zh-CN"/>
        </w:rPr>
      </w:pPr>
      <w:bookmarkStart w:id="5" w:name="_Toc17448"/>
      <w:r>
        <w:rPr>
          <w:b/>
          <w:sz w:val="24"/>
          <w:lang w:val="zh-CN"/>
        </w:rPr>
        <w:t>二、研究方向</w:t>
      </w:r>
      <w:bookmarkEnd w:id="5"/>
    </w:p>
    <w:p>
      <w:pPr>
        <w:adjustRightInd w:val="0"/>
        <w:snapToGrid w:val="0"/>
        <w:spacing w:line="400" w:lineRule="exact"/>
        <w:ind w:firstLine="480" w:firstLineChars="200"/>
        <w:rPr>
          <w:sz w:val="24"/>
        </w:rPr>
      </w:pPr>
      <w:r>
        <w:rPr>
          <w:sz w:val="24"/>
        </w:rPr>
        <w:t>（一）</w:t>
      </w:r>
      <w:r>
        <w:rPr>
          <w:rFonts w:hint="eastAsia"/>
          <w:sz w:val="24"/>
        </w:rPr>
        <w:t>船港装备与管道运用工程</w:t>
      </w:r>
    </w:p>
    <w:p>
      <w:pPr>
        <w:adjustRightInd w:val="0"/>
        <w:snapToGrid w:val="0"/>
        <w:spacing w:line="400" w:lineRule="exact"/>
        <w:ind w:firstLine="480" w:firstLineChars="200"/>
        <w:rPr>
          <w:sz w:val="24"/>
        </w:rPr>
      </w:pPr>
      <w:r>
        <w:rPr>
          <w:sz w:val="24"/>
        </w:rPr>
        <w:t>（</w:t>
      </w:r>
      <w:r>
        <w:rPr>
          <w:rFonts w:hint="eastAsia"/>
          <w:sz w:val="24"/>
        </w:rPr>
        <w:t>二</w:t>
      </w:r>
      <w:r>
        <w:rPr>
          <w:sz w:val="24"/>
        </w:rPr>
        <w:t>）</w:t>
      </w:r>
      <w:r>
        <w:rPr>
          <w:rFonts w:hint="eastAsia"/>
          <w:sz w:val="24"/>
        </w:rPr>
        <w:t>智能交通系统工程</w:t>
      </w:r>
    </w:p>
    <w:p>
      <w:pPr>
        <w:adjustRightInd w:val="0"/>
        <w:snapToGrid w:val="0"/>
        <w:spacing w:line="400" w:lineRule="exact"/>
        <w:ind w:firstLine="480" w:firstLineChars="200"/>
        <w:rPr>
          <w:sz w:val="24"/>
        </w:rPr>
      </w:pPr>
      <w:r>
        <w:rPr>
          <w:sz w:val="24"/>
        </w:rPr>
        <w:t>（</w:t>
      </w:r>
      <w:r>
        <w:rPr>
          <w:rFonts w:hint="eastAsia"/>
          <w:sz w:val="24"/>
        </w:rPr>
        <w:t>三</w:t>
      </w:r>
      <w:r>
        <w:rPr>
          <w:sz w:val="24"/>
        </w:rPr>
        <w:t>）</w:t>
      </w:r>
      <w:r>
        <w:rPr>
          <w:rFonts w:hint="eastAsia"/>
          <w:sz w:val="24"/>
        </w:rPr>
        <w:t>道桥建设与管养</w:t>
      </w:r>
    </w:p>
    <w:p>
      <w:pPr>
        <w:adjustRightInd w:val="0"/>
        <w:snapToGrid w:val="0"/>
        <w:spacing w:line="400" w:lineRule="exact"/>
        <w:ind w:firstLine="480" w:firstLineChars="200"/>
        <w:rPr>
          <w:sz w:val="24"/>
        </w:rPr>
      </w:pPr>
      <w:r>
        <w:rPr>
          <w:sz w:val="24"/>
        </w:rPr>
        <w:t>（</w:t>
      </w:r>
      <w:r>
        <w:rPr>
          <w:rFonts w:hint="eastAsia"/>
          <w:sz w:val="24"/>
        </w:rPr>
        <w:t>四</w:t>
      </w:r>
      <w:r>
        <w:rPr>
          <w:sz w:val="24"/>
        </w:rPr>
        <w:t>）</w:t>
      </w:r>
      <w:r>
        <w:rPr>
          <w:rFonts w:hint="eastAsia"/>
          <w:sz w:val="24"/>
        </w:rPr>
        <w:t>交通运输规划与物流管理</w:t>
      </w:r>
    </w:p>
    <w:p>
      <w:pPr>
        <w:adjustRightInd w:val="0"/>
        <w:snapToGrid w:val="0"/>
        <w:spacing w:line="400" w:lineRule="exact"/>
        <w:ind w:firstLine="480" w:firstLineChars="200"/>
        <w:rPr>
          <w:sz w:val="24"/>
        </w:rPr>
      </w:pPr>
      <w:r>
        <w:rPr>
          <w:sz w:val="24"/>
        </w:rPr>
        <w:t>（</w:t>
      </w:r>
      <w:r>
        <w:rPr>
          <w:rFonts w:hint="eastAsia"/>
          <w:sz w:val="24"/>
        </w:rPr>
        <w:t>五</w:t>
      </w:r>
      <w:r>
        <w:rPr>
          <w:sz w:val="24"/>
        </w:rPr>
        <w:t>）</w:t>
      </w:r>
      <w:r>
        <w:rPr>
          <w:rFonts w:hint="eastAsia"/>
          <w:sz w:val="24"/>
        </w:rPr>
        <w:t>物流装备与自动化工程</w:t>
      </w:r>
    </w:p>
    <w:p>
      <w:pPr>
        <w:adjustRightInd w:val="0"/>
        <w:snapToGrid w:val="0"/>
        <w:spacing w:line="400" w:lineRule="exact"/>
        <w:ind w:firstLine="480" w:firstLineChars="200"/>
        <w:rPr>
          <w:sz w:val="24"/>
        </w:rPr>
      </w:pPr>
      <w:r>
        <w:rPr>
          <w:rFonts w:hint="eastAsia" w:ascii="宋体" w:hAnsi="宋体"/>
          <w:sz w:val="24"/>
        </w:rPr>
        <w:t>（六）船舶智能航行与海事保障</w:t>
      </w:r>
    </w:p>
    <w:p>
      <w:pPr>
        <w:keepNext/>
        <w:spacing w:before="156" w:beforeLines="50" w:after="156" w:afterLines="50"/>
        <w:outlineLvl w:val="2"/>
        <w:rPr>
          <w:b/>
          <w:sz w:val="24"/>
          <w:lang w:val="zh-CN"/>
        </w:rPr>
      </w:pPr>
      <w:bookmarkStart w:id="6" w:name="_Toc17736"/>
      <w:r>
        <w:rPr>
          <w:b/>
          <w:sz w:val="24"/>
          <w:lang w:val="zh-CN"/>
        </w:rPr>
        <w:t>三、学制及学习年限</w:t>
      </w:r>
      <w:bookmarkEnd w:id="6"/>
    </w:p>
    <w:p>
      <w:pPr>
        <w:adjustRightInd w:val="0"/>
        <w:snapToGrid w:val="0"/>
        <w:spacing w:line="400" w:lineRule="exact"/>
        <w:ind w:firstLine="480" w:firstLineChars="200"/>
        <w:rPr>
          <w:sz w:val="24"/>
        </w:rPr>
      </w:pPr>
      <w:r>
        <w:rPr>
          <w:sz w:val="24"/>
        </w:rPr>
        <w:t>交通运输工程学术学位博士研究生学制为4年，学习年限一般为4-5年，全日制最长不超过7年，非全日制最长不超过9年。</w:t>
      </w:r>
    </w:p>
    <w:p>
      <w:pPr>
        <w:adjustRightInd w:val="0"/>
        <w:snapToGrid w:val="0"/>
        <w:spacing w:line="400" w:lineRule="exact"/>
        <w:ind w:firstLine="480" w:firstLineChars="200"/>
        <w:rPr>
          <w:sz w:val="24"/>
        </w:rPr>
      </w:pPr>
      <w:r>
        <w:rPr>
          <w:sz w:val="24"/>
        </w:rPr>
        <w:t>休学创业的研究生，最长学习年限为10年。</w:t>
      </w:r>
    </w:p>
    <w:p>
      <w:pPr>
        <w:keepNext/>
        <w:spacing w:before="156" w:beforeLines="50" w:after="156" w:afterLines="50"/>
        <w:outlineLvl w:val="2"/>
        <w:rPr>
          <w:b/>
          <w:sz w:val="24"/>
          <w:lang w:val="zh-CN"/>
        </w:rPr>
      </w:pPr>
      <w:bookmarkStart w:id="7" w:name="_Toc4528"/>
      <w:r>
        <w:rPr>
          <w:b/>
          <w:sz w:val="24"/>
          <w:lang w:val="zh-CN"/>
        </w:rPr>
        <w:t>四、课程设置及学分要求</w:t>
      </w:r>
      <w:bookmarkEnd w:id="7"/>
    </w:p>
    <w:p>
      <w:pPr>
        <w:adjustRightInd w:val="0"/>
        <w:snapToGrid w:val="0"/>
        <w:spacing w:line="400" w:lineRule="exact"/>
        <w:ind w:firstLine="480" w:firstLineChars="200"/>
        <w:rPr>
          <w:sz w:val="24"/>
        </w:rPr>
      </w:pPr>
      <w:r>
        <w:rPr>
          <w:sz w:val="24"/>
        </w:rPr>
        <w:t>（一）学分要求</w:t>
      </w:r>
    </w:p>
    <w:p>
      <w:pPr>
        <w:adjustRightInd w:val="0"/>
        <w:snapToGrid w:val="0"/>
        <w:spacing w:line="400" w:lineRule="exact"/>
        <w:ind w:firstLine="480" w:firstLineChars="200"/>
        <w:rPr>
          <w:kern w:val="0"/>
          <w:sz w:val="24"/>
        </w:rPr>
      </w:pPr>
      <w:r>
        <w:rPr>
          <w:rFonts w:hint="eastAsia"/>
          <w:kern w:val="0"/>
          <w:sz w:val="24"/>
        </w:rPr>
        <w:t>总学分数为≥17学分，其中课程学习学分为≥12学分，必修环节学分为5学分。所修课程由公共学位课、专业学位课和选修课三部分组成，其中公共学位课≥4学分，专业学位课≥4学分，选修课≥4学分。必修环节包括：实践环节3学分、学术活动1学分、选题报告1学分。</w:t>
      </w:r>
    </w:p>
    <w:p>
      <w:pPr>
        <w:adjustRightInd w:val="0"/>
        <w:snapToGrid w:val="0"/>
        <w:spacing w:line="400" w:lineRule="exact"/>
        <w:ind w:firstLine="480" w:firstLineChars="200"/>
        <w:rPr>
          <w:sz w:val="24"/>
        </w:rPr>
      </w:pPr>
      <w:r>
        <w:rPr>
          <w:sz w:val="24"/>
        </w:rPr>
        <w:t>（二）课程设置</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7"/>
        <w:gridCol w:w="812"/>
        <w:gridCol w:w="1131"/>
        <w:gridCol w:w="1701"/>
        <w:gridCol w:w="569"/>
        <w:gridCol w:w="578"/>
        <w:gridCol w:w="555"/>
        <w:gridCol w:w="710"/>
        <w:gridCol w:w="99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tblHeader/>
          <w:jc w:val="center"/>
        </w:trPr>
        <w:tc>
          <w:tcPr>
            <w:tcW w:w="887"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bookmarkStart w:id="8" w:name="_Toc18509"/>
            <w:r>
              <w:rPr>
                <w:b/>
                <w:bCs/>
                <w:sz w:val="22"/>
              </w:rPr>
              <w:t>课程</w:t>
            </w:r>
          </w:p>
          <w:p>
            <w:pPr>
              <w:widowControl/>
              <w:autoSpaceDE w:val="0"/>
              <w:autoSpaceDN w:val="0"/>
              <w:adjustRightInd w:val="0"/>
              <w:snapToGrid w:val="0"/>
              <w:jc w:val="center"/>
              <w:rPr>
                <w:b/>
                <w:kern w:val="0"/>
                <w:sz w:val="22"/>
              </w:rPr>
            </w:pPr>
            <w:r>
              <w:rPr>
                <w:b/>
                <w:bCs/>
                <w:sz w:val="22"/>
              </w:rPr>
              <w:t>类别</w:t>
            </w:r>
          </w:p>
        </w:tc>
        <w:tc>
          <w:tcPr>
            <w:tcW w:w="812"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课程</w:t>
            </w:r>
          </w:p>
          <w:p>
            <w:pPr>
              <w:widowControl/>
              <w:autoSpaceDE w:val="0"/>
              <w:autoSpaceDN w:val="0"/>
              <w:adjustRightInd w:val="0"/>
              <w:snapToGrid w:val="0"/>
              <w:jc w:val="center"/>
              <w:rPr>
                <w:b/>
                <w:kern w:val="0"/>
                <w:sz w:val="22"/>
              </w:rPr>
            </w:pPr>
            <w:r>
              <w:rPr>
                <w:b/>
                <w:bCs/>
                <w:sz w:val="22"/>
              </w:rPr>
              <w:t>类型</w:t>
            </w:r>
          </w:p>
        </w:tc>
        <w:tc>
          <w:tcPr>
            <w:tcW w:w="1131"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课程编号</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课程名称</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理论</w:t>
            </w:r>
          </w:p>
          <w:p>
            <w:pPr>
              <w:widowControl/>
              <w:autoSpaceDE w:val="0"/>
              <w:autoSpaceDN w:val="0"/>
              <w:adjustRightInd w:val="0"/>
              <w:snapToGrid w:val="0"/>
              <w:jc w:val="center"/>
              <w:rPr>
                <w:b/>
                <w:kern w:val="0"/>
                <w:sz w:val="22"/>
              </w:rPr>
            </w:pPr>
            <w:r>
              <w:rPr>
                <w:b/>
                <w:bCs/>
                <w:sz w:val="22"/>
              </w:rPr>
              <w:t>学时</w:t>
            </w: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实验</w:t>
            </w:r>
          </w:p>
          <w:p>
            <w:pPr>
              <w:widowControl/>
              <w:autoSpaceDE w:val="0"/>
              <w:autoSpaceDN w:val="0"/>
              <w:adjustRightInd w:val="0"/>
              <w:snapToGrid w:val="0"/>
              <w:jc w:val="center"/>
              <w:rPr>
                <w:b/>
                <w:kern w:val="0"/>
                <w:sz w:val="22"/>
              </w:rPr>
            </w:pPr>
            <w:r>
              <w:rPr>
                <w:b/>
                <w:bCs/>
                <w:sz w:val="22"/>
              </w:rPr>
              <w:t>学时</w:t>
            </w: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学分</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开课</w:t>
            </w:r>
          </w:p>
          <w:p>
            <w:pPr>
              <w:widowControl/>
              <w:autoSpaceDE w:val="0"/>
              <w:autoSpaceDN w:val="0"/>
              <w:adjustRightInd w:val="0"/>
              <w:snapToGrid w:val="0"/>
              <w:jc w:val="center"/>
              <w:rPr>
                <w:b/>
                <w:bCs/>
                <w:sz w:val="22"/>
              </w:rPr>
            </w:pPr>
            <w:r>
              <w:rPr>
                <w:b/>
                <w:bCs/>
                <w:sz w:val="22"/>
              </w:rPr>
              <w:t>学期</w:t>
            </w:r>
          </w:p>
        </w:tc>
        <w:tc>
          <w:tcPr>
            <w:tcW w:w="991"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开课</w:t>
            </w:r>
          </w:p>
          <w:p>
            <w:pPr>
              <w:widowControl/>
              <w:autoSpaceDE w:val="0"/>
              <w:autoSpaceDN w:val="0"/>
              <w:adjustRightInd w:val="0"/>
              <w:snapToGrid w:val="0"/>
              <w:jc w:val="center"/>
              <w:rPr>
                <w:b/>
                <w:bCs/>
                <w:sz w:val="22"/>
              </w:rPr>
            </w:pPr>
            <w:r>
              <w:rPr>
                <w:b/>
                <w:bCs/>
                <w:sz w:val="22"/>
              </w:rPr>
              <w:t>单位</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restart"/>
            <w:tcMar>
              <w:top w:w="85" w:type="dxa"/>
              <w:left w:w="57" w:type="dxa"/>
              <w:bottom w:w="85" w:type="dxa"/>
              <w:right w:w="57" w:type="dxa"/>
            </w:tcMar>
            <w:vAlign w:val="center"/>
          </w:tcPr>
          <w:p>
            <w:pPr>
              <w:jc w:val="center"/>
              <w:rPr>
                <w:sz w:val="22"/>
                <w:szCs w:val="22"/>
              </w:rPr>
            </w:pPr>
            <w:r>
              <w:rPr>
                <w:sz w:val="22"/>
                <w:szCs w:val="22"/>
              </w:rPr>
              <w:t>公共</w:t>
            </w:r>
          </w:p>
          <w:p>
            <w:pPr>
              <w:jc w:val="center"/>
              <w:rPr>
                <w:sz w:val="22"/>
                <w:szCs w:val="22"/>
              </w:rPr>
            </w:pPr>
            <w:r>
              <w:rPr>
                <w:sz w:val="22"/>
                <w:szCs w:val="22"/>
              </w:rPr>
              <w:t>学位课</w:t>
            </w:r>
          </w:p>
          <w:p>
            <w:pPr>
              <w:widowControl/>
              <w:autoSpaceDE w:val="0"/>
              <w:autoSpaceDN w:val="0"/>
              <w:adjustRightInd w:val="0"/>
              <w:snapToGrid w:val="0"/>
              <w:jc w:val="center"/>
              <w:rPr>
                <w:kern w:val="0"/>
                <w:sz w:val="22"/>
              </w:rPr>
            </w:pPr>
            <w:r>
              <w:rPr>
                <w:sz w:val="22"/>
                <w:szCs w:val="22"/>
              </w:rPr>
              <w:t>（4学分</w:t>
            </w:r>
          </w:p>
        </w:tc>
        <w:tc>
          <w:tcPr>
            <w:tcW w:w="812" w:type="dxa"/>
            <w:vMerge w:val="restart"/>
            <w:tcMar>
              <w:top w:w="85" w:type="dxa"/>
              <w:left w:w="57" w:type="dxa"/>
              <w:bottom w:w="85" w:type="dxa"/>
              <w:right w:w="57" w:type="dxa"/>
            </w:tcMar>
            <w:vAlign w:val="center"/>
          </w:tcPr>
          <w:p>
            <w:pPr>
              <w:widowControl/>
              <w:jc w:val="center"/>
              <w:rPr>
                <w:bCs/>
                <w:sz w:val="22"/>
              </w:rPr>
            </w:pPr>
            <w:r>
              <w:rPr>
                <w:bCs/>
                <w:sz w:val="22"/>
              </w:rPr>
              <w:t>外语</w:t>
            </w:r>
          </w:p>
          <w:p>
            <w:pPr>
              <w:widowControl/>
              <w:autoSpaceDE w:val="0"/>
              <w:autoSpaceDN w:val="0"/>
              <w:adjustRightInd w:val="0"/>
              <w:snapToGrid w:val="0"/>
              <w:jc w:val="center"/>
              <w:rPr>
                <w:bCs/>
                <w:sz w:val="22"/>
              </w:rPr>
            </w:pPr>
            <w:r>
              <w:rPr>
                <w:bCs/>
                <w:sz w:val="22"/>
              </w:rPr>
              <w:t>（2学分）</w:t>
            </w:r>
          </w:p>
        </w:tc>
        <w:tc>
          <w:tcPr>
            <w:tcW w:w="1131" w:type="dxa"/>
            <w:tcMar>
              <w:top w:w="85" w:type="dxa"/>
              <w:left w:w="57" w:type="dxa"/>
              <w:bottom w:w="85" w:type="dxa"/>
              <w:right w:w="57" w:type="dxa"/>
            </w:tcMar>
          </w:tcPr>
          <w:p>
            <w:pPr>
              <w:widowControl/>
              <w:jc w:val="center"/>
              <w:rPr>
                <w:bCs/>
                <w:sz w:val="22"/>
              </w:rPr>
            </w:pPr>
            <w:r>
              <w:rPr>
                <w:sz w:val="22"/>
              </w:rPr>
              <w:t>60200123006</w:t>
            </w:r>
          </w:p>
        </w:tc>
        <w:tc>
          <w:tcPr>
            <w:tcW w:w="1701" w:type="dxa"/>
            <w:tcMar>
              <w:top w:w="85" w:type="dxa"/>
              <w:left w:w="57" w:type="dxa"/>
              <w:bottom w:w="85" w:type="dxa"/>
              <w:right w:w="57" w:type="dxa"/>
            </w:tcMar>
            <w:vAlign w:val="center"/>
          </w:tcPr>
          <w:p>
            <w:pPr>
              <w:widowControl/>
              <w:jc w:val="center"/>
              <w:rPr>
                <w:sz w:val="22"/>
                <w:szCs w:val="22"/>
              </w:rPr>
            </w:pPr>
            <w:r>
              <w:rPr>
                <w:sz w:val="22"/>
                <w:szCs w:val="22"/>
              </w:rPr>
              <w:t>科技英语阅读与写作</w:t>
            </w:r>
            <w:r>
              <w:rPr>
                <w:rFonts w:hint="eastAsia"/>
                <w:sz w:val="22"/>
                <w:szCs w:val="22"/>
              </w:rPr>
              <w:t>（高阶）</w:t>
            </w:r>
          </w:p>
        </w:tc>
        <w:tc>
          <w:tcPr>
            <w:tcW w:w="569" w:type="dxa"/>
            <w:tcMar>
              <w:top w:w="85" w:type="dxa"/>
              <w:left w:w="57" w:type="dxa"/>
              <w:bottom w:w="85" w:type="dxa"/>
              <w:right w:w="57" w:type="dxa"/>
            </w:tcMar>
            <w:vAlign w:val="center"/>
          </w:tcPr>
          <w:p>
            <w:pPr>
              <w:widowControl/>
              <w:jc w:val="center"/>
              <w:rPr>
                <w:sz w:val="22"/>
                <w:szCs w:val="22"/>
              </w:rPr>
            </w:pPr>
            <w:r>
              <w:rPr>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restart"/>
            <w:tcMar>
              <w:top w:w="85" w:type="dxa"/>
              <w:left w:w="57" w:type="dxa"/>
              <w:bottom w:w="85" w:type="dxa"/>
              <w:right w:w="57" w:type="dxa"/>
            </w:tcMar>
            <w:vAlign w:val="center"/>
          </w:tcPr>
          <w:p>
            <w:pPr>
              <w:jc w:val="center"/>
              <w:rPr>
                <w:sz w:val="22"/>
                <w:szCs w:val="22"/>
              </w:rPr>
            </w:pPr>
            <w:r>
              <w:rPr>
                <w:rFonts w:hint="eastAsia"/>
                <w:sz w:val="22"/>
                <w:szCs w:val="22"/>
              </w:rPr>
              <w:t>任选</w:t>
            </w:r>
          </w:p>
          <w:p>
            <w:pPr>
              <w:widowControl/>
              <w:autoSpaceDE w:val="0"/>
              <w:autoSpaceDN w:val="0"/>
              <w:adjustRightInd w:val="0"/>
              <w:snapToGrid w:val="0"/>
              <w:jc w:val="center"/>
              <w:rPr>
                <w:sz w:val="22"/>
                <w:szCs w:val="22"/>
              </w:rPr>
            </w:pPr>
            <w:r>
              <w:rPr>
                <w:rFonts w:hint="eastAsia"/>
                <w:sz w:val="22"/>
                <w:szCs w:val="22"/>
              </w:rPr>
              <w:t>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tcPr>
          <w:p>
            <w:pPr>
              <w:widowControl/>
              <w:jc w:val="center"/>
              <w:rPr>
                <w:bCs/>
                <w:sz w:val="22"/>
              </w:rPr>
            </w:pPr>
            <w:r>
              <w:rPr>
                <w:sz w:val="22"/>
              </w:rPr>
              <w:t>60200123007</w:t>
            </w:r>
          </w:p>
        </w:tc>
        <w:tc>
          <w:tcPr>
            <w:tcW w:w="1701" w:type="dxa"/>
            <w:tcMar>
              <w:top w:w="85" w:type="dxa"/>
              <w:left w:w="57" w:type="dxa"/>
              <w:bottom w:w="85" w:type="dxa"/>
              <w:right w:w="57" w:type="dxa"/>
            </w:tcMar>
            <w:vAlign w:val="center"/>
          </w:tcPr>
          <w:p>
            <w:pPr>
              <w:widowControl/>
              <w:jc w:val="center"/>
              <w:rPr>
                <w:sz w:val="22"/>
                <w:szCs w:val="22"/>
              </w:rPr>
            </w:pPr>
            <w:r>
              <w:rPr>
                <w:sz w:val="22"/>
                <w:szCs w:val="22"/>
              </w:rPr>
              <w:t>英语演讲</w:t>
            </w:r>
            <w:r>
              <w:rPr>
                <w:rFonts w:hint="eastAsia"/>
                <w:sz w:val="22"/>
                <w:szCs w:val="22"/>
              </w:rPr>
              <w:t>（高阶）</w:t>
            </w:r>
          </w:p>
        </w:tc>
        <w:tc>
          <w:tcPr>
            <w:tcW w:w="569" w:type="dxa"/>
            <w:tcMar>
              <w:top w:w="85" w:type="dxa"/>
              <w:left w:w="57" w:type="dxa"/>
              <w:bottom w:w="85" w:type="dxa"/>
              <w:right w:w="57" w:type="dxa"/>
            </w:tcMar>
            <w:vAlign w:val="center"/>
          </w:tcPr>
          <w:p>
            <w:pPr>
              <w:widowControl/>
              <w:jc w:val="center"/>
              <w:rPr>
                <w:sz w:val="22"/>
                <w:szCs w:val="22"/>
              </w:rPr>
            </w:pPr>
            <w:r>
              <w:rPr>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40200123001</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学术英语读写</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40200123002</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学术英语交流</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40200123003</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雅思考试技巧与实践</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40200123004</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托福考试技巧与实践</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40200123005</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翻译技巧与实践</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40200123006</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名剧民品</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40200123007</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英语公共演讲</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40200123008</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研究生英语听说实践</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40200123009</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跨文化交际</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40200123010</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科技英语实训</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40200123011</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英语论语导读</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40200123012</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学术阅读策略</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rFonts w:eastAsia="等线"/>
                <w:sz w:val="22"/>
                <w:szCs w:val="22"/>
              </w:rPr>
              <w:t>40200123013</w:t>
            </w:r>
          </w:p>
        </w:tc>
        <w:tc>
          <w:tcPr>
            <w:tcW w:w="1701" w:type="dxa"/>
            <w:tcMar>
              <w:top w:w="85" w:type="dxa"/>
              <w:left w:w="57" w:type="dxa"/>
              <w:bottom w:w="85" w:type="dxa"/>
              <w:right w:w="57" w:type="dxa"/>
            </w:tcMar>
            <w:vAlign w:val="center"/>
          </w:tcPr>
          <w:p>
            <w:pPr>
              <w:widowControl/>
              <w:jc w:val="center"/>
              <w:rPr>
                <w:sz w:val="22"/>
                <w:szCs w:val="22"/>
              </w:rPr>
            </w:pPr>
            <w:r>
              <w:rPr>
                <w:rFonts w:hint="eastAsia"/>
                <w:sz w:val="22"/>
                <w:szCs w:val="22"/>
              </w:rPr>
              <w:t>学术英语交流与表达</w:t>
            </w:r>
          </w:p>
        </w:tc>
        <w:tc>
          <w:tcPr>
            <w:tcW w:w="569" w:type="dxa"/>
            <w:tcMar>
              <w:top w:w="85" w:type="dxa"/>
              <w:left w:w="57" w:type="dxa"/>
              <w:bottom w:w="85" w:type="dxa"/>
              <w:right w:w="57" w:type="dxa"/>
            </w:tcMar>
            <w:vAlign w:val="center"/>
          </w:tcPr>
          <w:p>
            <w:pPr>
              <w:widowControl/>
              <w:jc w:val="center"/>
              <w:rPr>
                <w:sz w:val="22"/>
                <w:szCs w:val="22"/>
              </w:rPr>
            </w:pPr>
            <w:r>
              <w:rPr>
                <w:rFonts w:eastAsia="等线"/>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rFonts w:eastAsia="等线"/>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widowControl/>
              <w:jc w:val="center"/>
              <w:rPr>
                <w:bCs/>
                <w:sz w:val="22"/>
              </w:rPr>
            </w:pPr>
            <w:r>
              <w:rPr>
                <w:sz w:val="22"/>
                <w:szCs w:val="22"/>
              </w:rPr>
              <w:t>40200123014-</w:t>
            </w:r>
            <w:r>
              <w:rPr>
                <w:rFonts w:hint="eastAsia"/>
                <w:sz w:val="22"/>
                <w:szCs w:val="22"/>
                <w:lang w:val="en-US" w:eastAsia="zh-CN"/>
              </w:rPr>
              <w:t>0</w:t>
            </w:r>
            <w:r>
              <w:rPr>
                <w:sz w:val="22"/>
                <w:szCs w:val="22"/>
              </w:rPr>
              <w:t>17</w:t>
            </w:r>
          </w:p>
        </w:tc>
        <w:tc>
          <w:tcPr>
            <w:tcW w:w="1701" w:type="dxa"/>
            <w:tcMar>
              <w:top w:w="85" w:type="dxa"/>
              <w:left w:w="57" w:type="dxa"/>
              <w:bottom w:w="85" w:type="dxa"/>
              <w:right w:w="57" w:type="dxa"/>
            </w:tcMar>
            <w:vAlign w:val="center"/>
          </w:tcPr>
          <w:p>
            <w:pPr>
              <w:jc w:val="center"/>
              <w:rPr>
                <w:sz w:val="22"/>
                <w:szCs w:val="22"/>
              </w:rPr>
            </w:pPr>
            <w:r>
              <w:rPr>
                <w:sz w:val="22"/>
                <w:szCs w:val="22"/>
              </w:rPr>
              <w:t>第一外国语</w:t>
            </w:r>
          </w:p>
          <w:p>
            <w:pPr>
              <w:widowControl/>
              <w:jc w:val="center"/>
              <w:rPr>
                <w:sz w:val="22"/>
                <w:szCs w:val="22"/>
              </w:rPr>
            </w:pPr>
            <w:r>
              <w:rPr>
                <w:sz w:val="22"/>
                <w:szCs w:val="22"/>
              </w:rPr>
              <w:t>（日、法、德、俄语）</w:t>
            </w:r>
          </w:p>
        </w:tc>
        <w:tc>
          <w:tcPr>
            <w:tcW w:w="569" w:type="dxa"/>
            <w:tcMar>
              <w:top w:w="85" w:type="dxa"/>
              <w:left w:w="57" w:type="dxa"/>
              <w:bottom w:w="85" w:type="dxa"/>
              <w:right w:w="57" w:type="dxa"/>
            </w:tcMar>
            <w:vAlign w:val="center"/>
          </w:tcPr>
          <w:p>
            <w:pPr>
              <w:widowControl/>
              <w:jc w:val="center"/>
              <w:rPr>
                <w:sz w:val="22"/>
                <w:szCs w:val="22"/>
              </w:rPr>
            </w:pPr>
            <w:r>
              <w:rPr>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sz w:val="22"/>
                <w:szCs w:val="22"/>
              </w:rPr>
            </w:pPr>
            <w:r>
              <w:rPr>
                <w:sz w:val="22"/>
                <w:szCs w:val="22"/>
              </w:rPr>
              <w:t>2</w:t>
            </w:r>
          </w:p>
        </w:tc>
        <w:tc>
          <w:tcPr>
            <w:tcW w:w="710" w:type="dxa"/>
            <w:tcMar>
              <w:top w:w="85" w:type="dxa"/>
              <w:left w:w="57" w:type="dxa"/>
              <w:bottom w:w="85" w:type="dxa"/>
              <w:right w:w="57" w:type="dxa"/>
            </w:tcMar>
            <w:vAlign w:val="center"/>
          </w:tcPr>
          <w:p>
            <w:pPr>
              <w:widowControl/>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887" w:type="dxa"/>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812" w:type="dxa"/>
            <w:tcMar>
              <w:top w:w="85" w:type="dxa"/>
              <w:left w:w="57" w:type="dxa"/>
              <w:bottom w:w="85" w:type="dxa"/>
              <w:right w:w="57" w:type="dxa"/>
            </w:tcMar>
            <w:vAlign w:val="center"/>
          </w:tcPr>
          <w:p>
            <w:pPr>
              <w:jc w:val="center"/>
              <w:rPr>
                <w:sz w:val="22"/>
                <w:szCs w:val="22"/>
              </w:rPr>
            </w:pPr>
            <w:r>
              <w:rPr>
                <w:sz w:val="22"/>
                <w:szCs w:val="22"/>
              </w:rPr>
              <w:t>思政</w:t>
            </w:r>
          </w:p>
          <w:p>
            <w:pPr>
              <w:jc w:val="center"/>
              <w:rPr>
                <w:sz w:val="22"/>
                <w:szCs w:val="22"/>
              </w:rPr>
            </w:pPr>
            <w:r>
              <w:rPr>
                <w:sz w:val="22"/>
                <w:szCs w:val="22"/>
              </w:rPr>
              <w:t>（2学分）</w:t>
            </w:r>
          </w:p>
        </w:tc>
        <w:tc>
          <w:tcPr>
            <w:tcW w:w="1131" w:type="dxa"/>
            <w:tcMar>
              <w:top w:w="85" w:type="dxa"/>
              <w:left w:w="57" w:type="dxa"/>
              <w:bottom w:w="85" w:type="dxa"/>
              <w:right w:w="57" w:type="dxa"/>
            </w:tcMar>
            <w:vAlign w:val="center"/>
          </w:tcPr>
          <w:p>
            <w:pPr>
              <w:widowControl/>
              <w:jc w:val="center"/>
              <w:rPr>
                <w:bCs/>
                <w:sz w:val="22"/>
              </w:rPr>
            </w:pPr>
            <w:r>
              <w:rPr>
                <w:bCs/>
                <w:sz w:val="22"/>
              </w:rPr>
              <w:t>60210123001</w:t>
            </w:r>
          </w:p>
        </w:tc>
        <w:tc>
          <w:tcPr>
            <w:tcW w:w="1701" w:type="dxa"/>
            <w:tcMar>
              <w:top w:w="85" w:type="dxa"/>
              <w:left w:w="57" w:type="dxa"/>
              <w:bottom w:w="85" w:type="dxa"/>
              <w:right w:w="57" w:type="dxa"/>
            </w:tcMar>
            <w:vAlign w:val="center"/>
          </w:tcPr>
          <w:p>
            <w:pPr>
              <w:widowControl/>
              <w:jc w:val="center"/>
              <w:rPr>
                <w:bCs/>
                <w:sz w:val="22"/>
              </w:rPr>
            </w:pPr>
            <w:r>
              <w:rPr>
                <w:sz w:val="22"/>
                <w:szCs w:val="22"/>
              </w:rPr>
              <w:t>中国马克思主义与当代</w:t>
            </w:r>
          </w:p>
        </w:tc>
        <w:tc>
          <w:tcPr>
            <w:tcW w:w="569" w:type="dxa"/>
            <w:tcMar>
              <w:top w:w="85" w:type="dxa"/>
              <w:left w:w="57" w:type="dxa"/>
              <w:bottom w:w="85" w:type="dxa"/>
              <w:right w:w="57" w:type="dxa"/>
            </w:tcMar>
            <w:vAlign w:val="center"/>
          </w:tcPr>
          <w:p>
            <w:pPr>
              <w:widowControl/>
              <w:jc w:val="center"/>
              <w:rPr>
                <w:bCs/>
                <w:sz w:val="22"/>
              </w:rPr>
            </w:pPr>
            <w:r>
              <w:rPr>
                <w:sz w:val="22"/>
                <w:szCs w:val="22"/>
              </w:rPr>
              <w:t>36</w:t>
            </w:r>
          </w:p>
        </w:tc>
        <w:tc>
          <w:tcPr>
            <w:tcW w:w="578" w:type="dxa"/>
            <w:tcMar>
              <w:top w:w="85" w:type="dxa"/>
              <w:left w:w="57" w:type="dxa"/>
              <w:bottom w:w="85" w:type="dxa"/>
              <w:right w:w="57" w:type="dxa"/>
            </w:tcMar>
            <w:vAlign w:val="center"/>
          </w:tcPr>
          <w:p>
            <w:pPr>
              <w:widowControl/>
              <w:jc w:val="center"/>
              <w:rPr>
                <w:bCs/>
                <w:sz w:val="22"/>
              </w:rPr>
            </w:pPr>
          </w:p>
        </w:tc>
        <w:tc>
          <w:tcPr>
            <w:tcW w:w="555" w:type="dxa"/>
            <w:tcMar>
              <w:top w:w="85" w:type="dxa"/>
              <w:left w:w="57" w:type="dxa"/>
              <w:bottom w:w="85" w:type="dxa"/>
              <w:right w:w="57" w:type="dxa"/>
            </w:tcMar>
            <w:vAlign w:val="center"/>
          </w:tcPr>
          <w:p>
            <w:pPr>
              <w:widowControl/>
              <w:jc w:val="center"/>
              <w:rPr>
                <w:bCs/>
                <w:sz w:val="22"/>
              </w:rPr>
            </w:pPr>
            <w:r>
              <w:rPr>
                <w:sz w:val="22"/>
                <w:szCs w:val="22"/>
              </w:rPr>
              <w:t>2</w:t>
            </w:r>
          </w:p>
        </w:tc>
        <w:tc>
          <w:tcPr>
            <w:tcW w:w="710" w:type="dxa"/>
            <w:tcMar>
              <w:top w:w="85" w:type="dxa"/>
              <w:left w:w="57" w:type="dxa"/>
              <w:bottom w:w="85" w:type="dxa"/>
              <w:right w:w="57" w:type="dxa"/>
            </w:tcMar>
            <w:vAlign w:val="center"/>
          </w:tcPr>
          <w:p>
            <w:pPr>
              <w:widowControl/>
              <w:jc w:val="center"/>
              <w:rPr>
                <w:bCs/>
                <w:sz w:val="22"/>
              </w:rPr>
            </w:pPr>
            <w:r>
              <w:rPr>
                <w:sz w:val="22"/>
                <w:szCs w:val="22"/>
              </w:rPr>
              <w:t>1</w:t>
            </w:r>
          </w:p>
        </w:tc>
        <w:tc>
          <w:tcPr>
            <w:tcW w:w="991" w:type="dxa"/>
            <w:tcMar>
              <w:top w:w="85" w:type="dxa"/>
              <w:left w:w="57" w:type="dxa"/>
              <w:bottom w:w="85" w:type="dxa"/>
              <w:right w:w="57" w:type="dxa"/>
            </w:tcMar>
            <w:vAlign w:val="center"/>
          </w:tcPr>
          <w:p>
            <w:pPr>
              <w:widowControl/>
              <w:jc w:val="center"/>
              <w:rPr>
                <w:bCs/>
                <w:sz w:val="22"/>
              </w:rPr>
            </w:pPr>
            <w:r>
              <w:rPr>
                <w:sz w:val="22"/>
                <w:szCs w:val="22"/>
              </w:rPr>
              <w:t>马克思主义学院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bCs/>
                <w:sz w:val="22"/>
              </w:rPr>
            </w:pPr>
            <w:r>
              <w:rPr>
                <w:bCs/>
                <w:sz w:val="22"/>
              </w:rPr>
              <w:t>专业</w:t>
            </w:r>
          </w:p>
          <w:p>
            <w:pPr>
              <w:widowControl/>
              <w:autoSpaceDE w:val="0"/>
              <w:autoSpaceDN w:val="0"/>
              <w:adjustRightInd w:val="0"/>
              <w:snapToGrid w:val="0"/>
              <w:jc w:val="center"/>
              <w:rPr>
                <w:kern w:val="0"/>
                <w:sz w:val="22"/>
              </w:rPr>
            </w:pPr>
            <w:r>
              <w:rPr>
                <w:bCs/>
                <w:sz w:val="22"/>
              </w:rPr>
              <w:t>学位课</w:t>
            </w:r>
          </w:p>
          <w:p>
            <w:pPr>
              <w:autoSpaceDE w:val="0"/>
              <w:autoSpaceDN w:val="0"/>
              <w:adjustRightInd w:val="0"/>
              <w:snapToGrid w:val="0"/>
              <w:jc w:val="center"/>
              <w:rPr>
                <w:bCs/>
                <w:sz w:val="22"/>
              </w:rPr>
            </w:pPr>
            <w:r>
              <w:rPr>
                <w:bCs/>
                <w:sz w:val="22"/>
              </w:rPr>
              <w:t>（4学分）</w:t>
            </w: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60050223014</w:t>
            </w:r>
          </w:p>
        </w:tc>
        <w:tc>
          <w:tcPr>
            <w:tcW w:w="1701" w:type="dxa"/>
            <w:tcMar>
              <w:top w:w="85" w:type="dxa"/>
              <w:left w:w="57" w:type="dxa"/>
              <w:bottom w:w="85" w:type="dxa"/>
              <w:right w:w="57" w:type="dxa"/>
            </w:tcMar>
            <w:vAlign w:val="center"/>
          </w:tcPr>
          <w:p>
            <w:pPr>
              <w:jc w:val="center"/>
              <w:rPr>
                <w:sz w:val="22"/>
                <w:szCs w:val="22"/>
              </w:rPr>
            </w:pPr>
            <w:r>
              <w:rPr>
                <w:sz w:val="22"/>
                <w:szCs w:val="22"/>
              </w:rPr>
              <w:t>信息融合理论与方法</w:t>
            </w:r>
          </w:p>
        </w:tc>
        <w:tc>
          <w:tcPr>
            <w:tcW w:w="569"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36</w:t>
            </w:r>
          </w:p>
        </w:tc>
        <w:tc>
          <w:tcPr>
            <w:tcW w:w="578" w:type="dxa"/>
            <w:tcMar>
              <w:top w:w="85" w:type="dxa"/>
              <w:left w:w="57" w:type="dxa"/>
              <w:bottom w:w="85" w:type="dxa"/>
              <w:right w:w="57" w:type="dxa"/>
            </w:tcMar>
            <w:vAlign w:val="center"/>
          </w:tcPr>
          <w:p>
            <w:pPr>
              <w:jc w:val="center"/>
              <w:rPr>
                <w:rFonts w:eastAsia="仿宋_GB2312"/>
                <w:sz w:val="22"/>
                <w:szCs w:val="22"/>
              </w:rPr>
            </w:pPr>
          </w:p>
        </w:tc>
        <w:tc>
          <w:tcPr>
            <w:tcW w:w="555"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2</w:t>
            </w:r>
          </w:p>
        </w:tc>
        <w:tc>
          <w:tcPr>
            <w:tcW w:w="710"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交通物流学院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60050223023</w:t>
            </w:r>
          </w:p>
        </w:tc>
        <w:tc>
          <w:tcPr>
            <w:tcW w:w="1701" w:type="dxa"/>
            <w:tcMar>
              <w:top w:w="85" w:type="dxa"/>
              <w:left w:w="57" w:type="dxa"/>
              <w:bottom w:w="85" w:type="dxa"/>
              <w:right w:w="57" w:type="dxa"/>
            </w:tcMar>
            <w:vAlign w:val="center"/>
          </w:tcPr>
          <w:p>
            <w:pPr>
              <w:jc w:val="center"/>
              <w:rPr>
                <w:sz w:val="22"/>
                <w:szCs w:val="22"/>
              </w:rPr>
            </w:pPr>
            <w:r>
              <w:rPr>
                <w:sz w:val="22"/>
                <w:szCs w:val="22"/>
              </w:rPr>
              <w:t>载运工具运用工程理论与前沿</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船港装备与管道运用工程方向至少选2个学分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60050223005</w:t>
            </w:r>
          </w:p>
        </w:tc>
        <w:tc>
          <w:tcPr>
            <w:tcW w:w="1701" w:type="dxa"/>
            <w:tcMar>
              <w:top w:w="85" w:type="dxa"/>
              <w:left w:w="57" w:type="dxa"/>
              <w:bottom w:w="85" w:type="dxa"/>
              <w:right w:w="57" w:type="dxa"/>
            </w:tcMar>
            <w:vAlign w:val="center"/>
          </w:tcPr>
          <w:p>
            <w:pPr>
              <w:jc w:val="center"/>
            </w:pPr>
            <w:r>
              <w:t>故障诊断与系统控制</w:t>
            </w:r>
          </w:p>
        </w:tc>
        <w:tc>
          <w:tcPr>
            <w:tcW w:w="569" w:type="dxa"/>
            <w:tcMar>
              <w:top w:w="85" w:type="dxa"/>
              <w:left w:w="57" w:type="dxa"/>
              <w:bottom w:w="85" w:type="dxa"/>
              <w:right w:w="57" w:type="dxa"/>
            </w:tcMar>
            <w:vAlign w:val="center"/>
          </w:tcPr>
          <w:p>
            <w:pPr>
              <w:jc w:val="center"/>
            </w:pPr>
            <w:r>
              <w:t>36</w:t>
            </w:r>
          </w:p>
        </w:tc>
        <w:tc>
          <w:tcPr>
            <w:tcW w:w="578" w:type="dxa"/>
            <w:tcMar>
              <w:top w:w="85" w:type="dxa"/>
              <w:left w:w="57" w:type="dxa"/>
              <w:bottom w:w="85" w:type="dxa"/>
              <w:right w:w="57" w:type="dxa"/>
            </w:tcMar>
            <w:vAlign w:val="center"/>
          </w:tcPr>
          <w:p>
            <w:pPr>
              <w:jc w:val="center"/>
            </w:pPr>
          </w:p>
        </w:tc>
        <w:tc>
          <w:tcPr>
            <w:tcW w:w="555" w:type="dxa"/>
            <w:tcMar>
              <w:top w:w="85" w:type="dxa"/>
              <w:left w:w="57" w:type="dxa"/>
              <w:bottom w:w="85" w:type="dxa"/>
              <w:right w:w="57" w:type="dxa"/>
            </w:tcMar>
            <w:vAlign w:val="center"/>
          </w:tcPr>
          <w:p>
            <w:pPr>
              <w:jc w:val="center"/>
            </w:pPr>
            <w:r>
              <w:t>2</w:t>
            </w:r>
          </w:p>
        </w:tc>
        <w:tc>
          <w:tcPr>
            <w:tcW w:w="710" w:type="dxa"/>
            <w:tcMar>
              <w:top w:w="85" w:type="dxa"/>
              <w:left w:w="57" w:type="dxa"/>
              <w:bottom w:w="85" w:type="dxa"/>
              <w:right w:w="57" w:type="dxa"/>
            </w:tcMar>
            <w:vAlign w:val="center"/>
          </w:tcPr>
          <w:p>
            <w:pPr>
              <w:jc w:val="center"/>
            </w:pPr>
            <w:r>
              <w:t>2</w:t>
            </w:r>
          </w:p>
        </w:tc>
        <w:tc>
          <w:tcPr>
            <w:tcW w:w="991" w:type="dxa"/>
            <w:tcMar>
              <w:top w:w="85" w:type="dxa"/>
              <w:left w:w="57" w:type="dxa"/>
              <w:bottom w:w="85" w:type="dxa"/>
              <w:right w:w="57" w:type="dxa"/>
            </w:tcMar>
            <w:vAlign w:val="center"/>
          </w:tcPr>
          <w:p>
            <w:pPr>
              <w:jc w:val="center"/>
            </w:pPr>
            <w: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60050223004</w:t>
            </w:r>
          </w:p>
        </w:tc>
        <w:tc>
          <w:tcPr>
            <w:tcW w:w="1701" w:type="dxa"/>
            <w:tcMar>
              <w:top w:w="85" w:type="dxa"/>
              <w:left w:w="57" w:type="dxa"/>
              <w:bottom w:w="85" w:type="dxa"/>
              <w:right w:w="57" w:type="dxa"/>
            </w:tcMar>
            <w:vAlign w:val="center"/>
          </w:tcPr>
          <w:p>
            <w:pPr>
              <w:jc w:val="center"/>
            </w:pPr>
            <w:r>
              <w:t>可靠性工程</w:t>
            </w:r>
          </w:p>
        </w:tc>
        <w:tc>
          <w:tcPr>
            <w:tcW w:w="569" w:type="dxa"/>
            <w:tcMar>
              <w:top w:w="85" w:type="dxa"/>
              <w:left w:w="57" w:type="dxa"/>
              <w:bottom w:w="85" w:type="dxa"/>
              <w:right w:w="57" w:type="dxa"/>
            </w:tcMar>
            <w:vAlign w:val="center"/>
          </w:tcPr>
          <w:p>
            <w:pPr>
              <w:jc w:val="center"/>
            </w:pPr>
            <w:r>
              <w:t>36</w:t>
            </w:r>
          </w:p>
        </w:tc>
        <w:tc>
          <w:tcPr>
            <w:tcW w:w="578" w:type="dxa"/>
            <w:tcMar>
              <w:top w:w="85" w:type="dxa"/>
              <w:left w:w="57" w:type="dxa"/>
              <w:bottom w:w="85" w:type="dxa"/>
              <w:right w:w="57" w:type="dxa"/>
            </w:tcMar>
            <w:vAlign w:val="center"/>
          </w:tcPr>
          <w:p>
            <w:pPr>
              <w:jc w:val="center"/>
            </w:pPr>
          </w:p>
        </w:tc>
        <w:tc>
          <w:tcPr>
            <w:tcW w:w="555" w:type="dxa"/>
            <w:tcMar>
              <w:top w:w="85" w:type="dxa"/>
              <w:left w:w="57" w:type="dxa"/>
              <w:bottom w:w="85" w:type="dxa"/>
              <w:right w:w="57" w:type="dxa"/>
            </w:tcMar>
            <w:vAlign w:val="center"/>
          </w:tcPr>
          <w:p>
            <w:pPr>
              <w:jc w:val="center"/>
            </w:pPr>
            <w:r>
              <w:t>2</w:t>
            </w:r>
          </w:p>
        </w:tc>
        <w:tc>
          <w:tcPr>
            <w:tcW w:w="710" w:type="dxa"/>
            <w:tcMar>
              <w:top w:w="85" w:type="dxa"/>
              <w:left w:w="57" w:type="dxa"/>
              <w:bottom w:w="85" w:type="dxa"/>
              <w:right w:w="57" w:type="dxa"/>
            </w:tcMar>
            <w:vAlign w:val="center"/>
          </w:tcPr>
          <w:p>
            <w:pPr>
              <w:jc w:val="center"/>
            </w:pPr>
            <w:r>
              <w:t>2</w:t>
            </w:r>
          </w:p>
        </w:tc>
        <w:tc>
          <w:tcPr>
            <w:tcW w:w="991" w:type="dxa"/>
            <w:tcMar>
              <w:top w:w="85" w:type="dxa"/>
              <w:left w:w="57" w:type="dxa"/>
              <w:bottom w:w="85" w:type="dxa"/>
              <w:right w:w="57" w:type="dxa"/>
            </w:tcMar>
            <w:vAlign w:val="center"/>
          </w:tcPr>
          <w:p>
            <w:pPr>
              <w:jc w:val="center"/>
            </w:pPr>
            <w: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60050223002</w:t>
            </w:r>
          </w:p>
        </w:tc>
        <w:tc>
          <w:tcPr>
            <w:tcW w:w="1701" w:type="dxa"/>
            <w:tcMar>
              <w:top w:w="85" w:type="dxa"/>
              <w:left w:w="57" w:type="dxa"/>
              <w:bottom w:w="85" w:type="dxa"/>
              <w:right w:w="57" w:type="dxa"/>
            </w:tcMar>
            <w:vAlign w:val="center"/>
          </w:tcPr>
          <w:p>
            <w:pPr>
              <w:jc w:val="center"/>
              <w:rPr>
                <w:sz w:val="22"/>
                <w:szCs w:val="22"/>
              </w:rPr>
            </w:pPr>
            <w:r>
              <w:rPr>
                <w:sz w:val="22"/>
                <w:szCs w:val="22"/>
              </w:rPr>
              <w:t>摩擦学系统工程</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60050223024</w:t>
            </w:r>
          </w:p>
        </w:tc>
        <w:tc>
          <w:tcPr>
            <w:tcW w:w="1701" w:type="dxa"/>
            <w:tcMar>
              <w:top w:w="85" w:type="dxa"/>
              <w:left w:w="57" w:type="dxa"/>
              <w:bottom w:w="85" w:type="dxa"/>
              <w:right w:w="57" w:type="dxa"/>
            </w:tcMar>
            <w:vAlign w:val="center"/>
          </w:tcPr>
          <w:p>
            <w:pPr>
              <w:jc w:val="center"/>
              <w:rPr>
                <w:sz w:val="22"/>
                <w:szCs w:val="22"/>
              </w:rPr>
            </w:pPr>
            <w:r>
              <w:rPr>
                <w:sz w:val="22"/>
                <w:szCs w:val="22"/>
              </w:rPr>
              <w:t>交通安全前沿理论与方法</w:t>
            </w:r>
          </w:p>
        </w:tc>
        <w:tc>
          <w:tcPr>
            <w:tcW w:w="569" w:type="dxa"/>
            <w:tcMar>
              <w:top w:w="85" w:type="dxa"/>
              <w:left w:w="57" w:type="dxa"/>
              <w:bottom w:w="85" w:type="dxa"/>
              <w:right w:w="57" w:type="dxa"/>
            </w:tcMar>
            <w:vAlign w:val="center"/>
          </w:tcPr>
          <w:p>
            <w:pPr>
              <w:jc w:val="center"/>
              <w:rPr>
                <w:rFonts w:eastAsia="仿宋"/>
                <w:sz w:val="22"/>
                <w:szCs w:val="22"/>
              </w:rPr>
            </w:pPr>
            <w:r>
              <w:rPr>
                <w:rFonts w:eastAsia="仿宋"/>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rFonts w:eastAsia="仿宋"/>
                <w:sz w:val="22"/>
                <w:szCs w:val="22"/>
              </w:rPr>
            </w:pPr>
            <w:r>
              <w:rPr>
                <w:rFonts w:eastAsia="仿宋"/>
                <w:sz w:val="22"/>
                <w:szCs w:val="22"/>
              </w:rPr>
              <w:t>2</w:t>
            </w:r>
          </w:p>
        </w:tc>
        <w:tc>
          <w:tcPr>
            <w:tcW w:w="710" w:type="dxa"/>
            <w:tcMar>
              <w:top w:w="85" w:type="dxa"/>
              <w:left w:w="57" w:type="dxa"/>
              <w:bottom w:w="85" w:type="dxa"/>
              <w:right w:w="57" w:type="dxa"/>
            </w:tcMar>
            <w:vAlign w:val="center"/>
          </w:tcPr>
          <w:p>
            <w:pPr>
              <w:jc w:val="center"/>
              <w:rPr>
                <w:rFonts w:eastAsia="仿宋"/>
                <w:sz w:val="22"/>
                <w:szCs w:val="22"/>
              </w:rPr>
            </w:pPr>
            <w:r>
              <w:rPr>
                <w:rFonts w:eastAsia="仿宋"/>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交通环境与安全保障方向至少选2个学分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60050223011</w:t>
            </w:r>
          </w:p>
        </w:tc>
        <w:tc>
          <w:tcPr>
            <w:tcW w:w="1701" w:type="dxa"/>
            <w:tcMar>
              <w:top w:w="85" w:type="dxa"/>
              <w:left w:w="57" w:type="dxa"/>
              <w:bottom w:w="85" w:type="dxa"/>
              <w:right w:w="57" w:type="dxa"/>
            </w:tcMar>
            <w:vAlign w:val="center"/>
          </w:tcPr>
          <w:p>
            <w:pPr>
              <w:jc w:val="center"/>
              <w:rPr>
                <w:sz w:val="22"/>
                <w:szCs w:val="22"/>
              </w:rPr>
            </w:pPr>
            <w:r>
              <w:rPr>
                <w:sz w:val="22"/>
                <w:szCs w:val="22"/>
              </w:rPr>
              <w:t>海事安全智能监管理论与方法</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1</w:t>
            </w:r>
          </w:p>
        </w:tc>
        <w:tc>
          <w:tcPr>
            <w:tcW w:w="991" w:type="dxa"/>
            <w:tcMar>
              <w:top w:w="85" w:type="dxa"/>
              <w:left w:w="57" w:type="dxa"/>
              <w:bottom w:w="85" w:type="dxa"/>
              <w:right w:w="57" w:type="dxa"/>
            </w:tcMar>
            <w:vAlign w:val="center"/>
          </w:tcPr>
          <w:p>
            <w:pPr>
              <w:jc w:val="center"/>
              <w:rPr>
                <w:sz w:val="22"/>
                <w:szCs w:val="22"/>
              </w:rP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40050223017</w:t>
            </w:r>
          </w:p>
        </w:tc>
        <w:tc>
          <w:tcPr>
            <w:tcW w:w="1701" w:type="dxa"/>
            <w:tcMar>
              <w:top w:w="85" w:type="dxa"/>
              <w:left w:w="57" w:type="dxa"/>
              <w:bottom w:w="85" w:type="dxa"/>
              <w:right w:w="57" w:type="dxa"/>
            </w:tcMar>
            <w:vAlign w:val="center"/>
          </w:tcPr>
          <w:p>
            <w:pPr>
              <w:jc w:val="center"/>
              <w:rPr>
                <w:sz w:val="22"/>
                <w:szCs w:val="22"/>
              </w:rPr>
            </w:pPr>
            <w:r>
              <w:rPr>
                <w:sz w:val="22"/>
                <w:szCs w:val="22"/>
              </w:rPr>
              <w:t>交通安全分析方法与实践</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rPr>
                <w:sz w:val="22"/>
                <w:szCs w:val="22"/>
              </w:rP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adjustRightInd w:val="0"/>
              <w:snapToGrid w:val="0"/>
              <w:jc w:val="center"/>
              <w:rPr>
                <w:sz w:val="22"/>
              </w:rPr>
            </w:pPr>
            <w:r>
              <w:rPr>
                <w:sz w:val="22"/>
              </w:rPr>
              <w:t>01211007</w:t>
            </w:r>
          </w:p>
        </w:tc>
        <w:tc>
          <w:tcPr>
            <w:tcW w:w="1701" w:type="dxa"/>
            <w:tcMar>
              <w:top w:w="85" w:type="dxa"/>
              <w:left w:w="57" w:type="dxa"/>
              <w:bottom w:w="85" w:type="dxa"/>
              <w:right w:w="57" w:type="dxa"/>
            </w:tcMar>
            <w:vAlign w:val="center"/>
          </w:tcPr>
          <w:p>
            <w:pPr>
              <w:adjustRightInd w:val="0"/>
              <w:snapToGrid w:val="0"/>
              <w:jc w:val="center"/>
              <w:rPr>
                <w:sz w:val="22"/>
              </w:rPr>
            </w:pPr>
            <w:r>
              <w:rPr>
                <w:sz w:val="22"/>
              </w:rPr>
              <w:t>水上交通风险控制理论</w:t>
            </w:r>
          </w:p>
        </w:tc>
        <w:tc>
          <w:tcPr>
            <w:tcW w:w="569" w:type="dxa"/>
            <w:tcMar>
              <w:top w:w="85" w:type="dxa"/>
              <w:left w:w="57" w:type="dxa"/>
              <w:bottom w:w="85" w:type="dxa"/>
              <w:right w:w="57" w:type="dxa"/>
            </w:tcMar>
            <w:vAlign w:val="center"/>
          </w:tcPr>
          <w:p>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pPr>
              <w:adjustRightInd w:val="0"/>
              <w:snapToGrid w:val="0"/>
              <w:jc w:val="center"/>
              <w:rPr>
                <w:sz w:val="22"/>
              </w:rPr>
            </w:pPr>
          </w:p>
        </w:tc>
        <w:tc>
          <w:tcPr>
            <w:tcW w:w="555" w:type="dxa"/>
            <w:tcMar>
              <w:top w:w="85" w:type="dxa"/>
              <w:left w:w="57" w:type="dxa"/>
              <w:bottom w:w="85" w:type="dxa"/>
              <w:right w:w="57" w:type="dxa"/>
            </w:tcMar>
            <w:vAlign w:val="center"/>
          </w:tcPr>
          <w:p>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pPr>
              <w:adjustRightInd w:val="0"/>
              <w:snapToGrid w:val="0"/>
              <w:jc w:val="center"/>
              <w:rPr>
                <w:sz w:val="22"/>
              </w:rPr>
            </w:pPr>
            <w:r>
              <w:rPr>
                <w:sz w:val="22"/>
              </w:rPr>
              <w:t>1</w:t>
            </w:r>
          </w:p>
        </w:tc>
        <w:tc>
          <w:tcPr>
            <w:tcW w:w="991" w:type="dxa"/>
            <w:tcMar>
              <w:top w:w="85" w:type="dxa"/>
              <w:left w:w="57" w:type="dxa"/>
              <w:bottom w:w="85" w:type="dxa"/>
              <w:right w:w="57" w:type="dxa"/>
            </w:tcMar>
            <w:vAlign w:val="center"/>
          </w:tcPr>
          <w:p>
            <w:pPr>
              <w:adjustRightInd w:val="0"/>
              <w:snapToGrid w:val="0"/>
              <w:jc w:val="center"/>
              <w:rPr>
                <w:sz w:val="22"/>
              </w:rPr>
            </w:pPr>
            <w:r>
              <w:rPr>
                <w:sz w:val="22"/>
              </w:rPr>
              <w:t>航运学院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60050223026</w:t>
            </w:r>
          </w:p>
        </w:tc>
        <w:tc>
          <w:tcPr>
            <w:tcW w:w="1701" w:type="dxa"/>
            <w:tcMar>
              <w:top w:w="85" w:type="dxa"/>
              <w:left w:w="57" w:type="dxa"/>
              <w:bottom w:w="85" w:type="dxa"/>
              <w:right w:w="57" w:type="dxa"/>
            </w:tcMar>
            <w:vAlign w:val="center"/>
          </w:tcPr>
          <w:p>
            <w:pPr>
              <w:jc w:val="center"/>
              <w:rPr>
                <w:sz w:val="22"/>
                <w:szCs w:val="22"/>
              </w:rPr>
            </w:pPr>
            <w:r>
              <w:rPr>
                <w:sz w:val="22"/>
                <w:szCs w:val="22"/>
              </w:rPr>
              <w:t>交通流理论与方法</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智能交通系统工程方向至少选2个学分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60050223003</w:t>
            </w:r>
          </w:p>
        </w:tc>
        <w:tc>
          <w:tcPr>
            <w:tcW w:w="1701" w:type="dxa"/>
            <w:tcMar>
              <w:top w:w="85" w:type="dxa"/>
              <w:left w:w="57" w:type="dxa"/>
              <w:bottom w:w="85" w:type="dxa"/>
              <w:right w:w="57" w:type="dxa"/>
            </w:tcMar>
            <w:vAlign w:val="center"/>
          </w:tcPr>
          <w:p>
            <w:pPr>
              <w:jc w:val="center"/>
              <w:rPr>
                <w:sz w:val="22"/>
                <w:szCs w:val="22"/>
              </w:rPr>
            </w:pPr>
            <w:r>
              <w:rPr>
                <w:sz w:val="22"/>
                <w:szCs w:val="22"/>
              </w:rPr>
              <w:t>智能交通系统理论与方法</w:t>
            </w:r>
          </w:p>
        </w:tc>
        <w:tc>
          <w:tcPr>
            <w:tcW w:w="569"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36</w:t>
            </w:r>
          </w:p>
        </w:tc>
        <w:tc>
          <w:tcPr>
            <w:tcW w:w="578" w:type="dxa"/>
            <w:tcMar>
              <w:top w:w="85" w:type="dxa"/>
              <w:left w:w="57" w:type="dxa"/>
              <w:bottom w:w="85" w:type="dxa"/>
              <w:right w:w="57" w:type="dxa"/>
            </w:tcMar>
            <w:vAlign w:val="center"/>
          </w:tcPr>
          <w:p>
            <w:pPr>
              <w:jc w:val="center"/>
              <w:rPr>
                <w:rFonts w:eastAsia="仿宋_GB2312"/>
                <w:sz w:val="22"/>
                <w:szCs w:val="22"/>
              </w:rPr>
            </w:pPr>
          </w:p>
        </w:tc>
        <w:tc>
          <w:tcPr>
            <w:tcW w:w="555"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2</w:t>
            </w:r>
          </w:p>
        </w:tc>
        <w:tc>
          <w:tcPr>
            <w:tcW w:w="710"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60050223001</w:t>
            </w:r>
          </w:p>
        </w:tc>
        <w:tc>
          <w:tcPr>
            <w:tcW w:w="1701" w:type="dxa"/>
            <w:tcMar>
              <w:top w:w="85" w:type="dxa"/>
              <w:left w:w="57" w:type="dxa"/>
              <w:bottom w:w="85" w:type="dxa"/>
              <w:right w:w="57" w:type="dxa"/>
            </w:tcMar>
            <w:vAlign w:val="center"/>
          </w:tcPr>
          <w:p>
            <w:pPr>
              <w:jc w:val="center"/>
              <w:rPr>
                <w:sz w:val="22"/>
                <w:szCs w:val="22"/>
              </w:rPr>
            </w:pPr>
            <w:r>
              <w:rPr>
                <w:sz w:val="22"/>
                <w:szCs w:val="22"/>
              </w:rPr>
              <w:t>交通网络分析</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1</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60050223025</w:t>
            </w:r>
          </w:p>
        </w:tc>
        <w:tc>
          <w:tcPr>
            <w:tcW w:w="1701" w:type="dxa"/>
            <w:tcMar>
              <w:top w:w="85" w:type="dxa"/>
              <w:left w:w="57" w:type="dxa"/>
              <w:bottom w:w="85" w:type="dxa"/>
              <w:right w:w="57" w:type="dxa"/>
            </w:tcMar>
            <w:vAlign w:val="center"/>
          </w:tcPr>
          <w:p>
            <w:pPr>
              <w:jc w:val="center"/>
              <w:rPr>
                <w:sz w:val="22"/>
                <w:szCs w:val="22"/>
              </w:rPr>
            </w:pPr>
            <w:r>
              <w:rPr>
                <w:sz w:val="22"/>
                <w:szCs w:val="22"/>
              </w:rPr>
              <w:t>粘弹性力学</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道桥建设与管养方向至少选2个学分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60050223006</w:t>
            </w:r>
          </w:p>
        </w:tc>
        <w:tc>
          <w:tcPr>
            <w:tcW w:w="1701" w:type="dxa"/>
            <w:tcMar>
              <w:top w:w="85" w:type="dxa"/>
              <w:left w:w="57" w:type="dxa"/>
              <w:bottom w:w="85" w:type="dxa"/>
              <w:right w:w="57" w:type="dxa"/>
            </w:tcMar>
            <w:vAlign w:val="center"/>
          </w:tcPr>
          <w:p>
            <w:pPr>
              <w:jc w:val="center"/>
              <w:rPr>
                <w:sz w:val="22"/>
                <w:szCs w:val="22"/>
              </w:rPr>
            </w:pPr>
            <w:r>
              <w:rPr>
                <w:sz w:val="22"/>
                <w:szCs w:val="22"/>
              </w:rPr>
              <w:t>高等桥梁结构动力学</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1</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60050223008</w:t>
            </w:r>
          </w:p>
        </w:tc>
        <w:tc>
          <w:tcPr>
            <w:tcW w:w="1701" w:type="dxa"/>
            <w:tcMar>
              <w:top w:w="85" w:type="dxa"/>
              <w:left w:w="57" w:type="dxa"/>
              <w:bottom w:w="85" w:type="dxa"/>
              <w:right w:w="57" w:type="dxa"/>
            </w:tcMar>
            <w:vAlign w:val="center"/>
          </w:tcPr>
          <w:p>
            <w:pPr>
              <w:jc w:val="center"/>
              <w:rPr>
                <w:sz w:val="22"/>
                <w:szCs w:val="22"/>
              </w:rPr>
            </w:pPr>
            <w:r>
              <w:rPr>
                <w:sz w:val="22"/>
                <w:szCs w:val="22"/>
              </w:rPr>
              <w:t>道路设计理论与技术</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60050223009</w:t>
            </w:r>
          </w:p>
        </w:tc>
        <w:tc>
          <w:tcPr>
            <w:tcW w:w="1701" w:type="dxa"/>
            <w:tcMar>
              <w:top w:w="85" w:type="dxa"/>
              <w:left w:w="57" w:type="dxa"/>
              <w:bottom w:w="85" w:type="dxa"/>
              <w:right w:w="57" w:type="dxa"/>
            </w:tcMar>
            <w:vAlign w:val="center"/>
          </w:tcPr>
          <w:p>
            <w:pPr>
              <w:jc w:val="center"/>
              <w:rPr>
                <w:sz w:val="22"/>
                <w:szCs w:val="22"/>
              </w:rPr>
            </w:pPr>
            <w:r>
              <w:rPr>
                <w:sz w:val="22"/>
                <w:szCs w:val="22"/>
              </w:rPr>
              <w:t>高等桥梁结构理论与方法</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60050223010</w:t>
            </w:r>
          </w:p>
        </w:tc>
        <w:tc>
          <w:tcPr>
            <w:tcW w:w="1701" w:type="dxa"/>
            <w:tcMar>
              <w:top w:w="85" w:type="dxa"/>
              <w:left w:w="57" w:type="dxa"/>
              <w:bottom w:w="85" w:type="dxa"/>
              <w:right w:w="57" w:type="dxa"/>
            </w:tcMar>
            <w:vAlign w:val="center"/>
          </w:tcPr>
          <w:p>
            <w:pPr>
              <w:jc w:val="center"/>
              <w:rPr>
                <w:sz w:val="22"/>
                <w:szCs w:val="22"/>
              </w:rPr>
            </w:pPr>
            <w:r>
              <w:rPr>
                <w:sz w:val="22"/>
                <w:szCs w:val="22"/>
              </w:rPr>
              <w:t>综合交通运输规划前沿理论与方法</w:t>
            </w:r>
          </w:p>
        </w:tc>
        <w:tc>
          <w:tcPr>
            <w:tcW w:w="569"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36</w:t>
            </w:r>
          </w:p>
        </w:tc>
        <w:tc>
          <w:tcPr>
            <w:tcW w:w="578" w:type="dxa"/>
            <w:tcMar>
              <w:top w:w="85" w:type="dxa"/>
              <w:left w:w="57" w:type="dxa"/>
              <w:bottom w:w="85" w:type="dxa"/>
              <w:right w:w="57" w:type="dxa"/>
            </w:tcMar>
            <w:vAlign w:val="center"/>
          </w:tcPr>
          <w:p>
            <w:pPr>
              <w:jc w:val="center"/>
              <w:rPr>
                <w:rFonts w:eastAsia="仿宋_GB2312"/>
                <w:sz w:val="22"/>
                <w:szCs w:val="22"/>
              </w:rPr>
            </w:pPr>
          </w:p>
        </w:tc>
        <w:tc>
          <w:tcPr>
            <w:tcW w:w="555"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2</w:t>
            </w:r>
          </w:p>
        </w:tc>
        <w:tc>
          <w:tcPr>
            <w:tcW w:w="710" w:type="dxa"/>
            <w:tcMar>
              <w:top w:w="85" w:type="dxa"/>
              <w:left w:w="57" w:type="dxa"/>
              <w:bottom w:w="85" w:type="dxa"/>
              <w:right w:w="57" w:type="dxa"/>
            </w:tcMar>
            <w:vAlign w:val="center"/>
          </w:tcPr>
          <w:p>
            <w:pPr>
              <w:jc w:val="center"/>
              <w:rPr>
                <w:rFonts w:eastAsia="仿宋_GB2312"/>
                <w:sz w:val="22"/>
                <w:szCs w:val="22"/>
              </w:rPr>
            </w:pPr>
            <w:r>
              <w:rPr>
                <w:rFonts w:eastAsia="仿宋_GB2312"/>
                <w:sz w:val="22"/>
                <w:szCs w:val="22"/>
              </w:rPr>
              <w:t>1</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restart"/>
            <w:tcMar>
              <w:top w:w="85" w:type="dxa"/>
              <w:left w:w="57" w:type="dxa"/>
              <w:bottom w:w="85" w:type="dxa"/>
              <w:right w:w="57" w:type="dxa"/>
            </w:tcMar>
            <w:vAlign w:val="center"/>
          </w:tcPr>
          <w:p>
            <w:pPr>
              <w:adjustRightInd w:val="0"/>
              <w:snapToGrid w:val="0"/>
              <w:jc w:val="center"/>
              <w:rPr>
                <w:sz w:val="22"/>
                <w:szCs w:val="22"/>
              </w:rPr>
            </w:pPr>
            <w:r>
              <w:rPr>
                <w:sz w:val="22"/>
                <w:szCs w:val="22"/>
              </w:rPr>
              <w:t>交通运输规划与物流管理方向至少选2个学分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60050223007</w:t>
            </w:r>
          </w:p>
        </w:tc>
        <w:tc>
          <w:tcPr>
            <w:tcW w:w="1701" w:type="dxa"/>
            <w:tcMar>
              <w:top w:w="85" w:type="dxa"/>
              <w:left w:w="57" w:type="dxa"/>
              <w:bottom w:w="85" w:type="dxa"/>
              <w:right w:w="57" w:type="dxa"/>
            </w:tcMar>
            <w:vAlign w:val="center"/>
          </w:tcPr>
          <w:p>
            <w:pPr>
              <w:jc w:val="center"/>
              <w:rPr>
                <w:sz w:val="22"/>
                <w:szCs w:val="22"/>
              </w:rPr>
            </w:pPr>
            <w:r>
              <w:rPr>
                <w:sz w:val="22"/>
                <w:szCs w:val="22"/>
              </w:rPr>
              <w:t>运输管理前沿</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1</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60050523010</w:t>
            </w:r>
          </w:p>
        </w:tc>
        <w:tc>
          <w:tcPr>
            <w:tcW w:w="1701" w:type="dxa"/>
            <w:tcMar>
              <w:top w:w="85" w:type="dxa"/>
              <w:left w:w="57" w:type="dxa"/>
              <w:bottom w:w="85" w:type="dxa"/>
              <w:right w:w="57" w:type="dxa"/>
            </w:tcMar>
            <w:vAlign w:val="center"/>
          </w:tcPr>
          <w:p>
            <w:pPr>
              <w:jc w:val="center"/>
              <w:rPr>
                <w:sz w:val="22"/>
                <w:szCs w:val="22"/>
              </w:rPr>
            </w:pPr>
            <w:r>
              <w:rPr>
                <w:sz w:val="22"/>
                <w:szCs w:val="22"/>
              </w:rPr>
              <w:t>供应链管理方法论</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4"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60050223013</w:t>
            </w:r>
          </w:p>
        </w:tc>
        <w:tc>
          <w:tcPr>
            <w:tcW w:w="1701" w:type="dxa"/>
            <w:tcMar>
              <w:top w:w="85" w:type="dxa"/>
              <w:left w:w="57" w:type="dxa"/>
              <w:bottom w:w="85" w:type="dxa"/>
              <w:right w:w="57" w:type="dxa"/>
            </w:tcMar>
            <w:vAlign w:val="center"/>
          </w:tcPr>
          <w:p>
            <w:pPr>
              <w:jc w:val="center"/>
              <w:rPr>
                <w:sz w:val="22"/>
                <w:szCs w:val="22"/>
              </w:rPr>
            </w:pPr>
            <w:r>
              <w:rPr>
                <w:sz w:val="22"/>
                <w:szCs w:val="22"/>
              </w:rPr>
              <w:t>智慧港口运营优化理论（海南专项）</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1</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60050223021</w:t>
            </w:r>
          </w:p>
        </w:tc>
        <w:tc>
          <w:tcPr>
            <w:tcW w:w="1701" w:type="dxa"/>
            <w:tcMar>
              <w:top w:w="85" w:type="dxa"/>
              <w:left w:w="57" w:type="dxa"/>
              <w:bottom w:w="85" w:type="dxa"/>
              <w:right w:w="57" w:type="dxa"/>
            </w:tcMar>
            <w:vAlign w:val="center"/>
          </w:tcPr>
          <w:p>
            <w:pPr>
              <w:jc w:val="center"/>
              <w:rPr>
                <w:sz w:val="22"/>
                <w:szCs w:val="22"/>
              </w:rPr>
            </w:pPr>
            <w:r>
              <w:rPr>
                <w:sz w:val="22"/>
                <w:szCs w:val="22"/>
              </w:rPr>
              <w:t>现代机电控制工程</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1</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物流装备与自动化工程方向至少选2个学分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60050523008</w:t>
            </w:r>
          </w:p>
        </w:tc>
        <w:tc>
          <w:tcPr>
            <w:tcW w:w="1701" w:type="dxa"/>
            <w:tcMar>
              <w:top w:w="85" w:type="dxa"/>
              <w:left w:w="57" w:type="dxa"/>
              <w:bottom w:w="85" w:type="dxa"/>
              <w:right w:w="57" w:type="dxa"/>
            </w:tcMar>
            <w:vAlign w:val="center"/>
          </w:tcPr>
          <w:p>
            <w:pPr>
              <w:jc w:val="center"/>
              <w:rPr>
                <w:sz w:val="22"/>
                <w:szCs w:val="22"/>
              </w:rPr>
            </w:pPr>
            <w:r>
              <w:rPr>
                <w:sz w:val="22"/>
                <w:szCs w:val="22"/>
              </w:rPr>
              <w:t>港口物流装备关键技术</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jc w:val="center"/>
              <w:rPr>
                <w:sz w:val="22"/>
                <w:szCs w:val="22"/>
              </w:rPr>
            </w:pPr>
            <w:r>
              <w:rPr>
                <w:rFonts w:hint="eastAsia"/>
                <w:sz w:val="22"/>
                <w:szCs w:val="22"/>
              </w:rPr>
              <w:t>60050523009</w:t>
            </w:r>
          </w:p>
        </w:tc>
        <w:tc>
          <w:tcPr>
            <w:tcW w:w="1701" w:type="dxa"/>
            <w:tcMar>
              <w:top w:w="85" w:type="dxa"/>
              <w:left w:w="57" w:type="dxa"/>
              <w:bottom w:w="85" w:type="dxa"/>
              <w:right w:w="57" w:type="dxa"/>
            </w:tcMar>
            <w:vAlign w:val="center"/>
          </w:tcPr>
          <w:p>
            <w:pPr>
              <w:jc w:val="center"/>
              <w:rPr>
                <w:sz w:val="22"/>
                <w:szCs w:val="22"/>
              </w:rPr>
            </w:pPr>
            <w:r>
              <w:rPr>
                <w:sz w:val="22"/>
                <w:szCs w:val="22"/>
              </w:rPr>
              <w:t>分布式传感与控制系统</w:t>
            </w:r>
          </w:p>
        </w:tc>
        <w:tc>
          <w:tcPr>
            <w:tcW w:w="569" w:type="dxa"/>
            <w:tcMar>
              <w:top w:w="85" w:type="dxa"/>
              <w:left w:w="57" w:type="dxa"/>
              <w:bottom w:w="85" w:type="dxa"/>
              <w:right w:w="57" w:type="dxa"/>
            </w:tcMar>
            <w:vAlign w:val="center"/>
          </w:tcPr>
          <w:p>
            <w:pPr>
              <w:jc w:val="center"/>
              <w:rPr>
                <w:sz w:val="22"/>
                <w:szCs w:val="22"/>
              </w:rPr>
            </w:pPr>
            <w:r>
              <w:rPr>
                <w:sz w:val="22"/>
                <w:szCs w:val="22"/>
              </w:rPr>
              <w:t>36</w:t>
            </w:r>
          </w:p>
        </w:tc>
        <w:tc>
          <w:tcPr>
            <w:tcW w:w="578" w:type="dxa"/>
            <w:tcMar>
              <w:top w:w="85" w:type="dxa"/>
              <w:left w:w="57" w:type="dxa"/>
              <w:bottom w:w="85" w:type="dxa"/>
              <w:right w:w="57" w:type="dxa"/>
            </w:tcMar>
            <w:vAlign w:val="center"/>
          </w:tcPr>
          <w:p>
            <w:pPr>
              <w:jc w:val="center"/>
              <w:rPr>
                <w:sz w:val="22"/>
                <w:szCs w:val="22"/>
              </w:rPr>
            </w:pPr>
          </w:p>
        </w:tc>
        <w:tc>
          <w:tcPr>
            <w:tcW w:w="555" w:type="dxa"/>
            <w:tcMar>
              <w:top w:w="85" w:type="dxa"/>
              <w:left w:w="57" w:type="dxa"/>
              <w:bottom w:w="85" w:type="dxa"/>
              <w:right w:w="57" w:type="dxa"/>
            </w:tcMar>
            <w:vAlign w:val="center"/>
          </w:tcPr>
          <w:p>
            <w:pPr>
              <w:jc w:val="center"/>
              <w:rPr>
                <w:sz w:val="22"/>
                <w:szCs w:val="22"/>
              </w:rPr>
            </w:pPr>
            <w:r>
              <w:rPr>
                <w:sz w:val="22"/>
                <w:szCs w:val="22"/>
              </w:rPr>
              <w:t>2</w:t>
            </w:r>
          </w:p>
        </w:tc>
        <w:tc>
          <w:tcPr>
            <w:tcW w:w="710" w:type="dxa"/>
            <w:tcMar>
              <w:top w:w="85" w:type="dxa"/>
              <w:left w:w="57" w:type="dxa"/>
              <w:bottom w:w="85" w:type="dxa"/>
              <w:right w:w="57" w:type="dxa"/>
            </w:tcMar>
            <w:vAlign w:val="center"/>
          </w:tcPr>
          <w:p>
            <w:pPr>
              <w:jc w:val="center"/>
              <w:rPr>
                <w:sz w:val="22"/>
                <w:szCs w:val="22"/>
              </w:rPr>
            </w:pPr>
            <w:r>
              <w:rPr>
                <w:sz w:val="22"/>
                <w:szCs w:val="22"/>
              </w:rPr>
              <w:t>2</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adjustRightInd w:val="0"/>
              <w:snapToGrid w:val="0"/>
              <w:jc w:val="center"/>
              <w:rPr>
                <w:sz w:val="22"/>
              </w:rPr>
            </w:pPr>
            <w:r>
              <w:rPr>
                <w:sz w:val="22"/>
              </w:rPr>
              <w:t>01211003</w:t>
            </w:r>
          </w:p>
        </w:tc>
        <w:tc>
          <w:tcPr>
            <w:tcW w:w="1701" w:type="dxa"/>
            <w:tcMar>
              <w:top w:w="85" w:type="dxa"/>
              <w:left w:w="57" w:type="dxa"/>
              <w:bottom w:w="85" w:type="dxa"/>
              <w:right w:w="57" w:type="dxa"/>
            </w:tcMar>
            <w:vAlign w:val="center"/>
          </w:tcPr>
          <w:p>
            <w:pPr>
              <w:adjustRightInd w:val="0"/>
              <w:snapToGrid w:val="0"/>
              <w:jc w:val="center"/>
              <w:rPr>
                <w:sz w:val="22"/>
              </w:rPr>
            </w:pPr>
            <w:r>
              <w:rPr>
                <w:sz w:val="22"/>
              </w:rPr>
              <w:t>船舶交通流理论与方法</w:t>
            </w:r>
          </w:p>
        </w:tc>
        <w:tc>
          <w:tcPr>
            <w:tcW w:w="569" w:type="dxa"/>
            <w:tcMar>
              <w:top w:w="85" w:type="dxa"/>
              <w:left w:w="57" w:type="dxa"/>
              <w:bottom w:w="85" w:type="dxa"/>
              <w:right w:w="57" w:type="dxa"/>
            </w:tcMar>
            <w:vAlign w:val="center"/>
          </w:tcPr>
          <w:p>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pPr>
              <w:adjustRightInd w:val="0"/>
              <w:snapToGrid w:val="0"/>
              <w:jc w:val="center"/>
              <w:rPr>
                <w:sz w:val="22"/>
              </w:rPr>
            </w:pPr>
          </w:p>
        </w:tc>
        <w:tc>
          <w:tcPr>
            <w:tcW w:w="555" w:type="dxa"/>
            <w:tcMar>
              <w:top w:w="85" w:type="dxa"/>
              <w:left w:w="57" w:type="dxa"/>
              <w:bottom w:w="85" w:type="dxa"/>
              <w:right w:w="57" w:type="dxa"/>
            </w:tcMar>
            <w:vAlign w:val="center"/>
          </w:tcPr>
          <w:p>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pPr>
              <w:adjustRightInd w:val="0"/>
              <w:snapToGrid w:val="0"/>
              <w:jc w:val="center"/>
              <w:rPr>
                <w:sz w:val="22"/>
              </w:rPr>
            </w:pPr>
            <w:r>
              <w:rPr>
                <w:sz w:val="22"/>
              </w:rPr>
              <w:t>1</w:t>
            </w:r>
          </w:p>
        </w:tc>
        <w:tc>
          <w:tcPr>
            <w:tcW w:w="991" w:type="dxa"/>
            <w:tcMar>
              <w:top w:w="85" w:type="dxa"/>
              <w:left w:w="57" w:type="dxa"/>
              <w:bottom w:w="85" w:type="dxa"/>
              <w:right w:w="57" w:type="dxa"/>
            </w:tcMar>
            <w:vAlign w:val="center"/>
          </w:tcPr>
          <w:p>
            <w:pPr>
              <w:adjustRightInd w:val="0"/>
              <w:snapToGrid w:val="0"/>
              <w:jc w:val="center"/>
              <w:rPr>
                <w:sz w:val="22"/>
              </w:rPr>
            </w:pPr>
            <w:r>
              <w:rPr>
                <w:sz w:val="22"/>
              </w:rPr>
              <w:t>航运学院</w:t>
            </w:r>
          </w:p>
        </w:tc>
        <w:tc>
          <w:tcPr>
            <w:tcW w:w="850"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船舶智能航行与海事保障方向至少选2个学分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adjustRightInd w:val="0"/>
              <w:snapToGrid w:val="0"/>
              <w:jc w:val="center"/>
              <w:rPr>
                <w:sz w:val="22"/>
              </w:rPr>
            </w:pPr>
            <w:r>
              <w:rPr>
                <w:sz w:val="22"/>
              </w:rPr>
              <w:t>01211008</w:t>
            </w:r>
          </w:p>
        </w:tc>
        <w:tc>
          <w:tcPr>
            <w:tcW w:w="1701" w:type="dxa"/>
            <w:tcMar>
              <w:top w:w="85" w:type="dxa"/>
              <w:left w:w="57" w:type="dxa"/>
              <w:bottom w:w="85" w:type="dxa"/>
              <w:right w:w="57" w:type="dxa"/>
            </w:tcMar>
            <w:vAlign w:val="center"/>
          </w:tcPr>
          <w:p>
            <w:pPr>
              <w:adjustRightInd w:val="0"/>
              <w:snapToGrid w:val="0"/>
              <w:jc w:val="center"/>
              <w:rPr>
                <w:sz w:val="22"/>
              </w:rPr>
            </w:pPr>
            <w:r>
              <w:rPr>
                <w:sz w:val="22"/>
              </w:rPr>
              <w:t>交通信息感知与数据挖掘</w:t>
            </w:r>
          </w:p>
        </w:tc>
        <w:tc>
          <w:tcPr>
            <w:tcW w:w="569" w:type="dxa"/>
            <w:tcMar>
              <w:top w:w="85" w:type="dxa"/>
              <w:left w:w="57" w:type="dxa"/>
              <w:bottom w:w="85" w:type="dxa"/>
              <w:right w:w="57" w:type="dxa"/>
            </w:tcMar>
            <w:vAlign w:val="center"/>
          </w:tcPr>
          <w:p>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pPr>
              <w:adjustRightInd w:val="0"/>
              <w:snapToGrid w:val="0"/>
              <w:jc w:val="center"/>
              <w:rPr>
                <w:sz w:val="22"/>
              </w:rPr>
            </w:pPr>
          </w:p>
        </w:tc>
        <w:tc>
          <w:tcPr>
            <w:tcW w:w="555" w:type="dxa"/>
            <w:tcMar>
              <w:top w:w="85" w:type="dxa"/>
              <w:left w:w="57" w:type="dxa"/>
              <w:bottom w:w="85" w:type="dxa"/>
              <w:right w:w="57" w:type="dxa"/>
            </w:tcMar>
            <w:vAlign w:val="center"/>
          </w:tcPr>
          <w:p>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pPr>
              <w:adjustRightInd w:val="0"/>
              <w:snapToGrid w:val="0"/>
              <w:jc w:val="center"/>
              <w:rPr>
                <w:sz w:val="22"/>
              </w:rPr>
            </w:pPr>
            <w:r>
              <w:rPr>
                <w:sz w:val="22"/>
              </w:rPr>
              <w:t>1</w:t>
            </w:r>
          </w:p>
        </w:tc>
        <w:tc>
          <w:tcPr>
            <w:tcW w:w="991" w:type="dxa"/>
            <w:tcMar>
              <w:top w:w="85" w:type="dxa"/>
              <w:left w:w="57" w:type="dxa"/>
              <w:bottom w:w="85" w:type="dxa"/>
              <w:right w:w="57" w:type="dxa"/>
            </w:tcMar>
            <w:vAlign w:val="center"/>
          </w:tcPr>
          <w:p>
            <w:pPr>
              <w:adjustRightInd w:val="0"/>
              <w:snapToGrid w:val="0"/>
              <w:jc w:val="center"/>
              <w:rPr>
                <w:sz w:val="22"/>
              </w:rPr>
            </w:pPr>
            <w:r>
              <w:rPr>
                <w:sz w:val="22"/>
              </w:rPr>
              <w:t>航运学院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adjustRightInd w:val="0"/>
              <w:snapToGrid w:val="0"/>
              <w:jc w:val="center"/>
              <w:rPr>
                <w:rFonts w:hint="default"/>
                <w:color w:val="auto"/>
                <w:sz w:val="22"/>
                <w:lang w:val="en-US"/>
              </w:rPr>
            </w:pPr>
            <w:r>
              <w:rPr>
                <w:rFonts w:hint="eastAsia" w:eastAsia="等线"/>
                <w:color w:val="auto"/>
                <w:sz w:val="22"/>
                <w:szCs w:val="22"/>
                <w:lang w:val="en-US" w:eastAsia="zh-CN"/>
              </w:rPr>
              <w:t>60130224001</w:t>
            </w:r>
          </w:p>
        </w:tc>
        <w:tc>
          <w:tcPr>
            <w:tcW w:w="1701" w:type="dxa"/>
            <w:tcMar>
              <w:top w:w="85" w:type="dxa"/>
              <w:left w:w="57" w:type="dxa"/>
              <w:bottom w:w="85" w:type="dxa"/>
              <w:right w:w="57" w:type="dxa"/>
            </w:tcMar>
            <w:vAlign w:val="center"/>
          </w:tcPr>
          <w:p>
            <w:pPr>
              <w:adjustRightInd w:val="0"/>
              <w:snapToGrid w:val="0"/>
              <w:jc w:val="center"/>
              <w:rPr>
                <w:color w:val="auto"/>
                <w:sz w:val="22"/>
              </w:rPr>
            </w:pPr>
            <w:r>
              <w:rPr>
                <w:color w:val="auto"/>
                <w:sz w:val="22"/>
              </w:rPr>
              <w:t>现代控制理论与方法</w:t>
            </w:r>
          </w:p>
        </w:tc>
        <w:tc>
          <w:tcPr>
            <w:tcW w:w="569" w:type="dxa"/>
            <w:tcMar>
              <w:top w:w="85" w:type="dxa"/>
              <w:left w:w="57" w:type="dxa"/>
              <w:bottom w:w="85" w:type="dxa"/>
              <w:right w:w="57" w:type="dxa"/>
            </w:tcMar>
            <w:vAlign w:val="center"/>
          </w:tcPr>
          <w:p>
            <w:pPr>
              <w:adjustRightInd w:val="0"/>
              <w:snapToGrid w:val="0"/>
              <w:jc w:val="center"/>
              <w:rPr>
                <w:color w:val="auto"/>
                <w:sz w:val="22"/>
              </w:rPr>
            </w:pPr>
            <w:r>
              <w:rPr>
                <w:color w:val="auto"/>
                <w:sz w:val="22"/>
              </w:rPr>
              <w:t>36</w:t>
            </w:r>
          </w:p>
        </w:tc>
        <w:tc>
          <w:tcPr>
            <w:tcW w:w="578" w:type="dxa"/>
            <w:tcMar>
              <w:top w:w="85" w:type="dxa"/>
              <w:left w:w="57" w:type="dxa"/>
              <w:bottom w:w="85" w:type="dxa"/>
              <w:right w:w="57" w:type="dxa"/>
            </w:tcMar>
            <w:vAlign w:val="center"/>
          </w:tcPr>
          <w:p>
            <w:pPr>
              <w:adjustRightInd w:val="0"/>
              <w:snapToGrid w:val="0"/>
              <w:jc w:val="center"/>
              <w:rPr>
                <w:color w:val="auto"/>
                <w:sz w:val="22"/>
              </w:rPr>
            </w:pPr>
          </w:p>
        </w:tc>
        <w:tc>
          <w:tcPr>
            <w:tcW w:w="555" w:type="dxa"/>
            <w:tcMar>
              <w:top w:w="85" w:type="dxa"/>
              <w:left w:w="57" w:type="dxa"/>
              <w:bottom w:w="85" w:type="dxa"/>
              <w:right w:w="57" w:type="dxa"/>
            </w:tcMar>
            <w:vAlign w:val="center"/>
          </w:tcPr>
          <w:p>
            <w:pPr>
              <w:adjustRightInd w:val="0"/>
              <w:snapToGrid w:val="0"/>
              <w:jc w:val="center"/>
              <w:rPr>
                <w:color w:val="auto"/>
                <w:sz w:val="22"/>
              </w:rPr>
            </w:pPr>
            <w:r>
              <w:rPr>
                <w:color w:val="auto"/>
                <w:sz w:val="22"/>
              </w:rPr>
              <w:t>2</w:t>
            </w:r>
          </w:p>
        </w:tc>
        <w:tc>
          <w:tcPr>
            <w:tcW w:w="710" w:type="dxa"/>
            <w:tcMar>
              <w:top w:w="85" w:type="dxa"/>
              <w:left w:w="57" w:type="dxa"/>
              <w:bottom w:w="85" w:type="dxa"/>
              <w:right w:w="57" w:type="dxa"/>
            </w:tcMar>
            <w:vAlign w:val="center"/>
          </w:tcPr>
          <w:p>
            <w:pPr>
              <w:adjustRightInd w:val="0"/>
              <w:snapToGrid w:val="0"/>
              <w:jc w:val="center"/>
              <w:rPr>
                <w:color w:val="auto"/>
                <w:sz w:val="22"/>
              </w:rPr>
            </w:pPr>
            <w:r>
              <w:rPr>
                <w:color w:val="auto"/>
                <w:sz w:val="22"/>
              </w:rPr>
              <w:t>2</w:t>
            </w:r>
          </w:p>
        </w:tc>
        <w:tc>
          <w:tcPr>
            <w:tcW w:w="991" w:type="dxa"/>
            <w:tcMar>
              <w:top w:w="85" w:type="dxa"/>
              <w:left w:w="57" w:type="dxa"/>
              <w:bottom w:w="85" w:type="dxa"/>
              <w:right w:w="57" w:type="dxa"/>
            </w:tcMar>
            <w:vAlign w:val="center"/>
          </w:tcPr>
          <w:p>
            <w:pPr>
              <w:adjustRightInd w:val="0"/>
              <w:snapToGrid w:val="0"/>
              <w:jc w:val="center"/>
              <w:rPr>
                <w:color w:val="auto"/>
                <w:sz w:val="22"/>
              </w:rPr>
            </w:pPr>
            <w:r>
              <w:rPr>
                <w:color w:val="auto"/>
                <w:sz w:val="22"/>
              </w:rPr>
              <w:t>自动化学院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pPr>
              <w:adjustRightInd w:val="0"/>
              <w:snapToGrid w:val="0"/>
              <w:jc w:val="center"/>
              <w:rPr>
                <w:rFonts w:hint="eastAsia" w:eastAsia="宋体"/>
                <w:color w:val="auto"/>
                <w:sz w:val="22"/>
                <w:lang w:val="en-US" w:eastAsia="zh-CN"/>
              </w:rPr>
            </w:pPr>
            <w:r>
              <w:rPr>
                <w:rFonts w:hint="eastAsia"/>
                <w:color w:val="auto"/>
                <w:lang w:val="en-US" w:eastAsia="zh-CN"/>
              </w:rPr>
              <w:t>6</w:t>
            </w:r>
            <w:r>
              <w:rPr>
                <w:rFonts w:hint="eastAsia"/>
                <w:color w:val="auto"/>
              </w:rPr>
              <w:t>01</w:t>
            </w:r>
            <w:r>
              <w:rPr>
                <w:rFonts w:hint="eastAsia"/>
                <w:color w:val="auto"/>
                <w:lang w:val="en-US" w:eastAsia="zh-CN"/>
              </w:rPr>
              <w:t>3</w:t>
            </w:r>
            <w:r>
              <w:rPr>
                <w:rFonts w:hint="eastAsia"/>
                <w:color w:val="auto"/>
              </w:rPr>
              <w:t>022400</w:t>
            </w:r>
            <w:r>
              <w:rPr>
                <w:rFonts w:hint="eastAsia"/>
                <w:color w:val="auto"/>
                <w:lang w:val="en-US" w:eastAsia="zh-CN"/>
              </w:rPr>
              <w:t>2</w:t>
            </w:r>
          </w:p>
        </w:tc>
        <w:tc>
          <w:tcPr>
            <w:tcW w:w="1701" w:type="dxa"/>
            <w:tcMar>
              <w:top w:w="85" w:type="dxa"/>
              <w:left w:w="57" w:type="dxa"/>
              <w:bottom w:w="85" w:type="dxa"/>
              <w:right w:w="57" w:type="dxa"/>
            </w:tcMar>
            <w:vAlign w:val="center"/>
          </w:tcPr>
          <w:p>
            <w:pPr>
              <w:adjustRightInd w:val="0"/>
              <w:snapToGrid w:val="0"/>
              <w:jc w:val="center"/>
              <w:rPr>
                <w:color w:val="auto"/>
                <w:sz w:val="22"/>
              </w:rPr>
            </w:pPr>
            <w:r>
              <w:rPr>
                <w:color w:val="auto"/>
                <w:sz w:val="22"/>
              </w:rPr>
              <w:t>系统优化与智能控制</w:t>
            </w:r>
          </w:p>
        </w:tc>
        <w:tc>
          <w:tcPr>
            <w:tcW w:w="569" w:type="dxa"/>
            <w:tcMar>
              <w:top w:w="85" w:type="dxa"/>
              <w:left w:w="57" w:type="dxa"/>
              <w:bottom w:w="85" w:type="dxa"/>
              <w:right w:w="57" w:type="dxa"/>
            </w:tcMar>
            <w:vAlign w:val="center"/>
          </w:tcPr>
          <w:p>
            <w:pPr>
              <w:adjustRightInd w:val="0"/>
              <w:snapToGrid w:val="0"/>
              <w:jc w:val="center"/>
              <w:rPr>
                <w:color w:val="auto"/>
                <w:sz w:val="22"/>
              </w:rPr>
            </w:pPr>
            <w:r>
              <w:rPr>
                <w:color w:val="auto"/>
                <w:sz w:val="22"/>
              </w:rPr>
              <w:t>36</w:t>
            </w:r>
          </w:p>
        </w:tc>
        <w:tc>
          <w:tcPr>
            <w:tcW w:w="578" w:type="dxa"/>
            <w:tcMar>
              <w:top w:w="85" w:type="dxa"/>
              <w:left w:w="57" w:type="dxa"/>
              <w:bottom w:w="85" w:type="dxa"/>
              <w:right w:w="57" w:type="dxa"/>
            </w:tcMar>
            <w:vAlign w:val="center"/>
          </w:tcPr>
          <w:p>
            <w:pPr>
              <w:adjustRightInd w:val="0"/>
              <w:snapToGrid w:val="0"/>
              <w:jc w:val="center"/>
              <w:rPr>
                <w:color w:val="auto"/>
                <w:sz w:val="22"/>
              </w:rPr>
            </w:pPr>
          </w:p>
        </w:tc>
        <w:tc>
          <w:tcPr>
            <w:tcW w:w="555" w:type="dxa"/>
            <w:tcMar>
              <w:top w:w="85" w:type="dxa"/>
              <w:left w:w="57" w:type="dxa"/>
              <w:bottom w:w="85" w:type="dxa"/>
              <w:right w:w="57" w:type="dxa"/>
            </w:tcMar>
            <w:vAlign w:val="center"/>
          </w:tcPr>
          <w:p>
            <w:pPr>
              <w:adjustRightInd w:val="0"/>
              <w:snapToGrid w:val="0"/>
              <w:jc w:val="center"/>
              <w:rPr>
                <w:color w:val="auto"/>
                <w:sz w:val="22"/>
              </w:rPr>
            </w:pPr>
            <w:r>
              <w:rPr>
                <w:color w:val="auto"/>
                <w:sz w:val="22"/>
              </w:rPr>
              <w:t>2</w:t>
            </w:r>
          </w:p>
        </w:tc>
        <w:tc>
          <w:tcPr>
            <w:tcW w:w="710" w:type="dxa"/>
            <w:tcMar>
              <w:top w:w="85" w:type="dxa"/>
              <w:left w:w="57" w:type="dxa"/>
              <w:bottom w:w="85" w:type="dxa"/>
              <w:right w:w="57" w:type="dxa"/>
            </w:tcMar>
            <w:vAlign w:val="center"/>
          </w:tcPr>
          <w:p>
            <w:pPr>
              <w:adjustRightInd w:val="0"/>
              <w:snapToGrid w:val="0"/>
              <w:jc w:val="center"/>
              <w:rPr>
                <w:color w:val="auto"/>
                <w:sz w:val="22"/>
              </w:rPr>
            </w:pPr>
            <w:r>
              <w:rPr>
                <w:color w:val="auto"/>
                <w:sz w:val="22"/>
              </w:rPr>
              <w:t>2</w:t>
            </w:r>
          </w:p>
        </w:tc>
        <w:tc>
          <w:tcPr>
            <w:tcW w:w="991" w:type="dxa"/>
            <w:tcMar>
              <w:top w:w="85" w:type="dxa"/>
              <w:left w:w="57" w:type="dxa"/>
              <w:bottom w:w="85" w:type="dxa"/>
              <w:right w:w="57" w:type="dxa"/>
            </w:tcMar>
            <w:vAlign w:val="center"/>
          </w:tcPr>
          <w:p>
            <w:pPr>
              <w:adjustRightInd w:val="0"/>
              <w:snapToGrid w:val="0"/>
              <w:jc w:val="center"/>
              <w:rPr>
                <w:color w:val="auto"/>
                <w:sz w:val="22"/>
              </w:rPr>
            </w:pPr>
            <w:r>
              <w:rPr>
                <w:color w:val="auto"/>
                <w:sz w:val="22"/>
              </w:rPr>
              <w:t>自动化学院</w:t>
            </w:r>
          </w:p>
        </w:tc>
        <w:tc>
          <w:tcPr>
            <w:tcW w:w="850"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2" w:hRule="atLeast"/>
          <w:jc w:val="center"/>
        </w:trPr>
        <w:tc>
          <w:tcPr>
            <w:tcW w:w="1699"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bCs/>
                <w:sz w:val="22"/>
              </w:rPr>
            </w:pPr>
            <w:r>
              <w:rPr>
                <w:bCs/>
                <w:sz w:val="22"/>
              </w:rPr>
              <w:t>选修课</w:t>
            </w:r>
          </w:p>
          <w:p>
            <w:pPr>
              <w:widowControl/>
              <w:autoSpaceDE w:val="0"/>
              <w:autoSpaceDN w:val="0"/>
              <w:adjustRightInd w:val="0"/>
              <w:snapToGrid w:val="0"/>
              <w:jc w:val="center"/>
              <w:rPr>
                <w:kern w:val="0"/>
                <w:sz w:val="22"/>
              </w:rPr>
            </w:pPr>
            <w:r>
              <w:rPr>
                <w:bCs/>
                <w:sz w:val="22"/>
              </w:rPr>
              <w:t>（4学分）</w:t>
            </w:r>
          </w:p>
        </w:tc>
        <w:tc>
          <w:tcPr>
            <w:tcW w:w="7085" w:type="dxa"/>
            <w:gridSpan w:val="8"/>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ascii="宋体" w:hAnsi="宋体" w:cs="宋体"/>
                <w:kern w:val="0"/>
                <w:sz w:val="22"/>
                <w:szCs w:val="22"/>
              </w:rPr>
              <w:t>可任意选修各学院开设的研究生课程、本科生课程（</w:t>
            </w:r>
            <w:r>
              <w:rPr>
                <w:bCs/>
                <w:sz w:val="22"/>
                <w:szCs w:val="22"/>
              </w:rPr>
              <w:t>具体课程</w:t>
            </w:r>
            <w:r>
              <w:rPr>
                <w:rFonts w:hint="eastAsia"/>
                <w:bCs/>
                <w:sz w:val="22"/>
                <w:szCs w:val="22"/>
              </w:rPr>
              <w:t>清单</w:t>
            </w:r>
            <w:r>
              <w:rPr>
                <w:bCs/>
                <w:sz w:val="22"/>
                <w:szCs w:val="22"/>
              </w:rPr>
              <w:t>见</w:t>
            </w:r>
            <w:r>
              <w:rPr>
                <w:rFonts w:hint="eastAsia"/>
                <w:bCs/>
                <w:sz w:val="22"/>
                <w:szCs w:val="22"/>
              </w:rPr>
              <w:t>附件，</w:t>
            </w:r>
            <w:r>
              <w:rPr>
                <w:rFonts w:hint="eastAsia" w:ascii="宋体" w:hAnsi="宋体" w:cs="宋体"/>
                <w:kern w:val="0"/>
                <w:sz w:val="22"/>
                <w:szCs w:val="22"/>
              </w:rPr>
              <w:t>选修本科生课程不计入总学分），至少含</w:t>
            </w:r>
            <w:r>
              <w:rPr>
                <w:rFonts w:ascii="宋体" w:hAnsi="宋体" w:cs="宋体"/>
                <w:kern w:val="0"/>
                <w:sz w:val="22"/>
                <w:szCs w:val="22"/>
              </w:rPr>
              <w:t>1门</w:t>
            </w:r>
            <w:r>
              <w:rPr>
                <w:rFonts w:hint="eastAsia" w:ascii="宋体" w:hAnsi="宋体" w:cs="宋体"/>
                <w:kern w:val="0"/>
                <w:sz w:val="22"/>
                <w:szCs w:val="22"/>
              </w:rPr>
              <w:t>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bCs/>
                <w:sz w:val="22"/>
              </w:rPr>
            </w:pPr>
            <w:r>
              <w:rPr>
                <w:bCs/>
                <w:sz w:val="22"/>
              </w:rPr>
              <w:t>必修</w:t>
            </w:r>
          </w:p>
          <w:p>
            <w:pPr>
              <w:widowControl/>
              <w:autoSpaceDE w:val="0"/>
              <w:autoSpaceDN w:val="0"/>
              <w:adjustRightInd w:val="0"/>
              <w:snapToGrid w:val="0"/>
              <w:jc w:val="center"/>
              <w:rPr>
                <w:kern w:val="0"/>
                <w:sz w:val="22"/>
              </w:rPr>
            </w:pPr>
            <w:r>
              <w:rPr>
                <w:bCs/>
                <w:sz w:val="22"/>
              </w:rPr>
              <w:t>环节</w:t>
            </w:r>
          </w:p>
          <w:p>
            <w:pPr>
              <w:widowControl/>
              <w:autoSpaceDE w:val="0"/>
              <w:autoSpaceDN w:val="0"/>
              <w:adjustRightInd w:val="0"/>
              <w:snapToGrid w:val="0"/>
              <w:jc w:val="center"/>
              <w:rPr>
                <w:kern w:val="0"/>
                <w:sz w:val="22"/>
              </w:rPr>
            </w:pPr>
            <w:r>
              <w:rPr>
                <w:bCs/>
                <w:sz w:val="22"/>
              </w:rPr>
              <w:t>（5学分）</w:t>
            </w:r>
          </w:p>
        </w:tc>
        <w:tc>
          <w:tcPr>
            <w:tcW w:w="1131"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rFonts w:hint="eastAsia"/>
                <w:sz w:val="22"/>
                <w:szCs w:val="22"/>
              </w:rPr>
              <w:t>60050623002</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博士实践环节</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3</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3</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rFonts w:hint="eastAsia"/>
                <w:sz w:val="22"/>
                <w:szCs w:val="22"/>
              </w:rPr>
              <w:t>60050623003</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博士学术活动</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1</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3</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rFonts w:hint="eastAsia"/>
                <w:sz w:val="22"/>
                <w:szCs w:val="22"/>
              </w:rPr>
              <w:t>60050623001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博士选题报告</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1</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sz w:val="22"/>
              </w:rPr>
            </w:pPr>
            <w:r>
              <w:rPr>
                <w:sz w:val="22"/>
                <w:szCs w:val="22"/>
              </w:rPr>
              <w:t>4</w:t>
            </w:r>
          </w:p>
        </w:tc>
        <w:tc>
          <w:tcPr>
            <w:tcW w:w="991" w:type="dxa"/>
            <w:tcMar>
              <w:top w:w="85" w:type="dxa"/>
              <w:left w:w="57" w:type="dxa"/>
              <w:bottom w:w="85" w:type="dxa"/>
              <w:right w:w="57" w:type="dxa"/>
            </w:tcMar>
            <w:vAlign w:val="center"/>
          </w:tcPr>
          <w:p>
            <w:pPr>
              <w:jc w:val="center"/>
            </w:pPr>
            <w:r>
              <w:rPr>
                <w:sz w:val="22"/>
                <w:szCs w:val="22"/>
              </w:rPr>
              <w:t>交通物流学院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adjustRightInd w:val="0"/>
              <w:snapToGrid w:val="0"/>
              <w:jc w:val="center"/>
              <w:rPr>
                <w:sz w:val="22"/>
              </w:rPr>
            </w:pPr>
            <w:r>
              <w:rPr>
                <w:sz w:val="22"/>
              </w:rPr>
              <w:t>01214005</w:t>
            </w:r>
          </w:p>
        </w:tc>
        <w:tc>
          <w:tcPr>
            <w:tcW w:w="1701" w:type="dxa"/>
            <w:tcMar>
              <w:top w:w="85" w:type="dxa"/>
              <w:left w:w="57" w:type="dxa"/>
              <w:bottom w:w="85" w:type="dxa"/>
              <w:right w:w="57" w:type="dxa"/>
            </w:tcMar>
            <w:vAlign w:val="center"/>
          </w:tcPr>
          <w:p>
            <w:pPr>
              <w:adjustRightInd w:val="0"/>
              <w:snapToGrid w:val="0"/>
              <w:jc w:val="center"/>
              <w:rPr>
                <w:sz w:val="22"/>
              </w:rPr>
            </w:pPr>
            <w:r>
              <w:rPr>
                <w:sz w:val="22"/>
              </w:rPr>
              <w:t>实践环节</w:t>
            </w:r>
          </w:p>
        </w:tc>
        <w:tc>
          <w:tcPr>
            <w:tcW w:w="569" w:type="dxa"/>
            <w:tcMar>
              <w:top w:w="85" w:type="dxa"/>
              <w:left w:w="57" w:type="dxa"/>
              <w:bottom w:w="85" w:type="dxa"/>
              <w:right w:w="57" w:type="dxa"/>
            </w:tcMar>
            <w:vAlign w:val="center"/>
          </w:tcPr>
          <w:p>
            <w:pPr>
              <w:adjustRightInd w:val="0"/>
              <w:snapToGrid w:val="0"/>
              <w:jc w:val="center"/>
              <w:rPr>
                <w:sz w:val="22"/>
              </w:rPr>
            </w:pPr>
          </w:p>
        </w:tc>
        <w:tc>
          <w:tcPr>
            <w:tcW w:w="578" w:type="dxa"/>
            <w:tcMar>
              <w:top w:w="85" w:type="dxa"/>
              <w:left w:w="57" w:type="dxa"/>
              <w:bottom w:w="85" w:type="dxa"/>
              <w:right w:w="57" w:type="dxa"/>
            </w:tcMar>
            <w:vAlign w:val="center"/>
          </w:tcPr>
          <w:p>
            <w:pPr>
              <w:adjustRightInd w:val="0"/>
              <w:snapToGrid w:val="0"/>
              <w:jc w:val="center"/>
              <w:rPr>
                <w:sz w:val="22"/>
              </w:rPr>
            </w:pPr>
          </w:p>
        </w:tc>
        <w:tc>
          <w:tcPr>
            <w:tcW w:w="555" w:type="dxa"/>
            <w:tcMar>
              <w:top w:w="85" w:type="dxa"/>
              <w:left w:w="57" w:type="dxa"/>
              <w:bottom w:w="85" w:type="dxa"/>
              <w:right w:w="57" w:type="dxa"/>
            </w:tcMar>
            <w:vAlign w:val="center"/>
          </w:tcPr>
          <w:p>
            <w:pPr>
              <w:adjustRightInd w:val="0"/>
              <w:snapToGrid w:val="0"/>
              <w:jc w:val="center"/>
              <w:rPr>
                <w:sz w:val="22"/>
              </w:rPr>
            </w:pPr>
            <w:r>
              <w:rPr>
                <w:sz w:val="22"/>
              </w:rPr>
              <w:t>3</w:t>
            </w:r>
          </w:p>
        </w:tc>
        <w:tc>
          <w:tcPr>
            <w:tcW w:w="710" w:type="dxa"/>
            <w:tcMar>
              <w:top w:w="85" w:type="dxa"/>
              <w:left w:w="57" w:type="dxa"/>
              <w:bottom w:w="85" w:type="dxa"/>
              <w:right w:w="57" w:type="dxa"/>
            </w:tcMar>
            <w:vAlign w:val="center"/>
          </w:tcPr>
          <w:p>
            <w:pPr>
              <w:adjustRightInd w:val="0"/>
              <w:snapToGrid w:val="0"/>
              <w:jc w:val="center"/>
              <w:rPr>
                <w:sz w:val="22"/>
              </w:rPr>
            </w:pPr>
            <w:r>
              <w:rPr>
                <w:sz w:val="22"/>
              </w:rPr>
              <w:t>4</w:t>
            </w:r>
          </w:p>
        </w:tc>
        <w:tc>
          <w:tcPr>
            <w:tcW w:w="991" w:type="dxa"/>
            <w:tcMar>
              <w:top w:w="85" w:type="dxa"/>
              <w:left w:w="57" w:type="dxa"/>
              <w:bottom w:w="85" w:type="dxa"/>
              <w:right w:w="57" w:type="dxa"/>
            </w:tcMar>
            <w:vAlign w:val="center"/>
          </w:tcPr>
          <w:p>
            <w:pPr>
              <w:adjustRightInd w:val="0"/>
              <w:snapToGrid w:val="0"/>
              <w:jc w:val="center"/>
              <w:rPr>
                <w:sz w:val="22"/>
              </w:rPr>
            </w:pPr>
            <w:r>
              <w:rPr>
                <w:sz w:val="22"/>
              </w:rPr>
              <w:t>航运学院</w:t>
            </w:r>
          </w:p>
        </w:tc>
        <w:tc>
          <w:tcPr>
            <w:tcW w:w="850" w:type="dxa"/>
            <w:tcMar>
              <w:top w:w="85" w:type="dxa"/>
              <w:left w:w="57" w:type="dxa"/>
              <w:bottom w:w="85" w:type="dxa"/>
              <w:right w:w="57" w:type="dxa"/>
            </w:tcMar>
            <w:vAlign w:val="center"/>
          </w:tcPr>
          <w:p>
            <w:pPr>
              <w:adjustRightInd w:val="0"/>
              <w:snapToGrid w:val="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adjustRightInd w:val="0"/>
              <w:snapToGrid w:val="0"/>
              <w:jc w:val="center"/>
              <w:rPr>
                <w:sz w:val="22"/>
              </w:rPr>
            </w:pPr>
            <w:r>
              <w:rPr>
                <w:sz w:val="22"/>
              </w:rPr>
              <w:t>01214002</w:t>
            </w:r>
          </w:p>
        </w:tc>
        <w:tc>
          <w:tcPr>
            <w:tcW w:w="1701" w:type="dxa"/>
            <w:tcMar>
              <w:top w:w="85" w:type="dxa"/>
              <w:left w:w="57" w:type="dxa"/>
              <w:bottom w:w="85" w:type="dxa"/>
              <w:right w:w="57" w:type="dxa"/>
            </w:tcMar>
            <w:vAlign w:val="center"/>
          </w:tcPr>
          <w:p>
            <w:pPr>
              <w:adjustRightInd w:val="0"/>
              <w:snapToGrid w:val="0"/>
              <w:jc w:val="center"/>
              <w:rPr>
                <w:sz w:val="22"/>
              </w:rPr>
            </w:pPr>
            <w:r>
              <w:rPr>
                <w:rFonts w:hint="eastAsia"/>
                <w:sz w:val="22"/>
              </w:rPr>
              <w:t>选题报告</w:t>
            </w:r>
          </w:p>
        </w:tc>
        <w:tc>
          <w:tcPr>
            <w:tcW w:w="569" w:type="dxa"/>
            <w:tcMar>
              <w:top w:w="85" w:type="dxa"/>
              <w:left w:w="57" w:type="dxa"/>
              <w:bottom w:w="85" w:type="dxa"/>
              <w:right w:w="57" w:type="dxa"/>
            </w:tcMar>
            <w:vAlign w:val="center"/>
          </w:tcPr>
          <w:p>
            <w:pPr>
              <w:adjustRightInd w:val="0"/>
              <w:snapToGrid w:val="0"/>
              <w:jc w:val="center"/>
              <w:rPr>
                <w:sz w:val="22"/>
              </w:rPr>
            </w:pPr>
          </w:p>
        </w:tc>
        <w:tc>
          <w:tcPr>
            <w:tcW w:w="578" w:type="dxa"/>
            <w:tcMar>
              <w:top w:w="85" w:type="dxa"/>
              <w:left w:w="57" w:type="dxa"/>
              <w:bottom w:w="85" w:type="dxa"/>
              <w:right w:w="57" w:type="dxa"/>
            </w:tcMar>
            <w:vAlign w:val="center"/>
          </w:tcPr>
          <w:p>
            <w:pPr>
              <w:adjustRightInd w:val="0"/>
              <w:snapToGrid w:val="0"/>
              <w:jc w:val="center"/>
              <w:rPr>
                <w:sz w:val="22"/>
              </w:rPr>
            </w:pPr>
          </w:p>
        </w:tc>
        <w:tc>
          <w:tcPr>
            <w:tcW w:w="555" w:type="dxa"/>
            <w:tcMar>
              <w:top w:w="85" w:type="dxa"/>
              <w:left w:w="57" w:type="dxa"/>
              <w:bottom w:w="85" w:type="dxa"/>
              <w:right w:w="57" w:type="dxa"/>
            </w:tcMar>
            <w:vAlign w:val="center"/>
          </w:tcPr>
          <w:p>
            <w:pPr>
              <w:adjustRightInd w:val="0"/>
              <w:snapToGrid w:val="0"/>
              <w:jc w:val="center"/>
              <w:rPr>
                <w:sz w:val="22"/>
              </w:rPr>
            </w:pPr>
            <w:r>
              <w:rPr>
                <w:sz w:val="22"/>
              </w:rPr>
              <w:t>1</w:t>
            </w:r>
          </w:p>
        </w:tc>
        <w:tc>
          <w:tcPr>
            <w:tcW w:w="710" w:type="dxa"/>
            <w:tcMar>
              <w:top w:w="85" w:type="dxa"/>
              <w:left w:w="57" w:type="dxa"/>
              <w:bottom w:w="85" w:type="dxa"/>
              <w:right w:w="57" w:type="dxa"/>
            </w:tcMar>
            <w:vAlign w:val="center"/>
          </w:tcPr>
          <w:p>
            <w:pPr>
              <w:adjustRightInd w:val="0"/>
              <w:snapToGrid w:val="0"/>
              <w:jc w:val="center"/>
              <w:rPr>
                <w:sz w:val="22"/>
              </w:rPr>
            </w:pPr>
            <w:r>
              <w:rPr>
                <w:sz w:val="22"/>
              </w:rPr>
              <w:t>4</w:t>
            </w:r>
          </w:p>
        </w:tc>
        <w:tc>
          <w:tcPr>
            <w:tcW w:w="991" w:type="dxa"/>
            <w:tcMar>
              <w:top w:w="85" w:type="dxa"/>
              <w:left w:w="57" w:type="dxa"/>
              <w:bottom w:w="85" w:type="dxa"/>
              <w:right w:w="57" w:type="dxa"/>
            </w:tcMar>
            <w:vAlign w:val="center"/>
          </w:tcPr>
          <w:p>
            <w:pPr>
              <w:adjustRightInd w:val="0"/>
              <w:snapToGrid w:val="0"/>
              <w:jc w:val="center"/>
              <w:rPr>
                <w:sz w:val="22"/>
              </w:rPr>
            </w:pPr>
            <w:r>
              <w:rPr>
                <w:sz w:val="22"/>
              </w:rPr>
              <w:t>航运学院</w:t>
            </w:r>
          </w:p>
        </w:tc>
        <w:tc>
          <w:tcPr>
            <w:tcW w:w="850" w:type="dxa"/>
            <w:tcMar>
              <w:top w:w="85" w:type="dxa"/>
              <w:left w:w="57" w:type="dxa"/>
              <w:bottom w:w="85" w:type="dxa"/>
              <w:right w:w="57" w:type="dxa"/>
            </w:tcMar>
            <w:vAlign w:val="center"/>
          </w:tcPr>
          <w:p>
            <w:pPr>
              <w:adjustRightInd w:val="0"/>
              <w:snapToGrid w:val="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adjustRightInd w:val="0"/>
              <w:snapToGrid w:val="0"/>
              <w:jc w:val="center"/>
              <w:rPr>
                <w:sz w:val="22"/>
              </w:rPr>
            </w:pPr>
            <w:r>
              <w:rPr>
                <w:sz w:val="22"/>
              </w:rPr>
              <w:t>01214003</w:t>
            </w:r>
          </w:p>
        </w:tc>
        <w:tc>
          <w:tcPr>
            <w:tcW w:w="1701" w:type="dxa"/>
            <w:tcMar>
              <w:top w:w="85" w:type="dxa"/>
              <w:left w:w="57" w:type="dxa"/>
              <w:bottom w:w="85" w:type="dxa"/>
              <w:right w:w="57" w:type="dxa"/>
            </w:tcMar>
            <w:vAlign w:val="center"/>
          </w:tcPr>
          <w:p>
            <w:pPr>
              <w:adjustRightInd w:val="0"/>
              <w:snapToGrid w:val="0"/>
              <w:jc w:val="center"/>
              <w:rPr>
                <w:sz w:val="22"/>
              </w:rPr>
            </w:pPr>
            <w:r>
              <w:rPr>
                <w:sz w:val="22"/>
              </w:rPr>
              <w:t>学术活动</w:t>
            </w:r>
          </w:p>
        </w:tc>
        <w:tc>
          <w:tcPr>
            <w:tcW w:w="569" w:type="dxa"/>
            <w:tcMar>
              <w:top w:w="85" w:type="dxa"/>
              <w:left w:w="57" w:type="dxa"/>
              <w:bottom w:w="85" w:type="dxa"/>
              <w:right w:w="57" w:type="dxa"/>
            </w:tcMar>
            <w:vAlign w:val="center"/>
          </w:tcPr>
          <w:p>
            <w:pPr>
              <w:adjustRightInd w:val="0"/>
              <w:snapToGrid w:val="0"/>
              <w:jc w:val="center"/>
              <w:rPr>
                <w:sz w:val="22"/>
              </w:rPr>
            </w:pPr>
          </w:p>
        </w:tc>
        <w:tc>
          <w:tcPr>
            <w:tcW w:w="578" w:type="dxa"/>
            <w:tcMar>
              <w:top w:w="85" w:type="dxa"/>
              <w:left w:w="57" w:type="dxa"/>
              <w:bottom w:w="85" w:type="dxa"/>
              <w:right w:w="57" w:type="dxa"/>
            </w:tcMar>
            <w:vAlign w:val="center"/>
          </w:tcPr>
          <w:p>
            <w:pPr>
              <w:adjustRightInd w:val="0"/>
              <w:snapToGrid w:val="0"/>
              <w:jc w:val="center"/>
              <w:rPr>
                <w:sz w:val="22"/>
              </w:rPr>
            </w:pPr>
          </w:p>
        </w:tc>
        <w:tc>
          <w:tcPr>
            <w:tcW w:w="555" w:type="dxa"/>
            <w:tcMar>
              <w:top w:w="85" w:type="dxa"/>
              <w:left w:w="57" w:type="dxa"/>
              <w:bottom w:w="85" w:type="dxa"/>
              <w:right w:w="57" w:type="dxa"/>
            </w:tcMar>
            <w:vAlign w:val="center"/>
          </w:tcPr>
          <w:p>
            <w:pPr>
              <w:adjustRightInd w:val="0"/>
              <w:snapToGrid w:val="0"/>
              <w:jc w:val="center"/>
              <w:rPr>
                <w:sz w:val="22"/>
              </w:rPr>
            </w:pPr>
            <w:r>
              <w:rPr>
                <w:sz w:val="22"/>
              </w:rPr>
              <w:t>1</w:t>
            </w:r>
          </w:p>
        </w:tc>
        <w:tc>
          <w:tcPr>
            <w:tcW w:w="710" w:type="dxa"/>
            <w:tcMar>
              <w:top w:w="85" w:type="dxa"/>
              <w:left w:w="57" w:type="dxa"/>
              <w:bottom w:w="85" w:type="dxa"/>
              <w:right w:w="57" w:type="dxa"/>
            </w:tcMar>
            <w:vAlign w:val="center"/>
          </w:tcPr>
          <w:p>
            <w:pPr>
              <w:adjustRightInd w:val="0"/>
              <w:snapToGrid w:val="0"/>
              <w:jc w:val="center"/>
              <w:rPr>
                <w:sz w:val="22"/>
              </w:rPr>
            </w:pPr>
            <w:r>
              <w:rPr>
                <w:sz w:val="22"/>
              </w:rPr>
              <w:t>4</w:t>
            </w:r>
          </w:p>
        </w:tc>
        <w:tc>
          <w:tcPr>
            <w:tcW w:w="991" w:type="dxa"/>
            <w:tcMar>
              <w:top w:w="85" w:type="dxa"/>
              <w:left w:w="57" w:type="dxa"/>
              <w:bottom w:w="85" w:type="dxa"/>
              <w:right w:w="57" w:type="dxa"/>
            </w:tcMar>
            <w:vAlign w:val="center"/>
          </w:tcPr>
          <w:p>
            <w:pPr>
              <w:adjustRightInd w:val="0"/>
              <w:snapToGrid w:val="0"/>
              <w:jc w:val="center"/>
              <w:rPr>
                <w:sz w:val="22"/>
              </w:rPr>
            </w:pPr>
            <w:r>
              <w:rPr>
                <w:sz w:val="22"/>
              </w:rPr>
              <w:t>航运学院</w:t>
            </w:r>
          </w:p>
        </w:tc>
        <w:tc>
          <w:tcPr>
            <w:tcW w:w="850" w:type="dxa"/>
            <w:tcMar>
              <w:top w:w="85" w:type="dxa"/>
              <w:left w:w="57" w:type="dxa"/>
              <w:bottom w:w="85" w:type="dxa"/>
              <w:right w:w="57" w:type="dxa"/>
            </w:tcMar>
            <w:vAlign w:val="center"/>
          </w:tcPr>
          <w:p>
            <w:pPr>
              <w:adjustRightInd w:val="0"/>
              <w:snapToGrid w:val="0"/>
              <w:jc w:val="center"/>
              <w:rPr>
                <w:sz w:val="22"/>
              </w:rPr>
            </w:pPr>
            <w:r>
              <w:rPr>
                <w:sz w:val="22"/>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adjustRightInd w:val="0"/>
              <w:snapToGrid w:val="0"/>
              <w:jc w:val="center"/>
              <w:rPr>
                <w:rFonts w:hint="default" w:eastAsia="宋体"/>
                <w:color w:val="auto"/>
                <w:sz w:val="22"/>
                <w:lang w:val="en-US" w:eastAsia="zh-CN"/>
              </w:rPr>
            </w:pPr>
            <w:r>
              <w:rPr>
                <w:rFonts w:hint="eastAsia"/>
                <w:color w:val="auto"/>
                <w:sz w:val="22"/>
                <w:lang w:val="en-US" w:eastAsia="zh-CN"/>
              </w:rPr>
              <w:t>60130624001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博士实践环节</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3</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3</w:t>
            </w:r>
          </w:p>
        </w:tc>
        <w:tc>
          <w:tcPr>
            <w:tcW w:w="991" w:type="dxa"/>
            <w:tcMar>
              <w:top w:w="85" w:type="dxa"/>
              <w:left w:w="57" w:type="dxa"/>
              <w:bottom w:w="85" w:type="dxa"/>
              <w:right w:w="57" w:type="dxa"/>
            </w:tcMar>
            <w:vAlign w:val="center"/>
          </w:tcPr>
          <w:p>
            <w:pPr>
              <w:jc w:val="center"/>
              <w:rPr>
                <w:color w:val="auto"/>
              </w:rPr>
            </w:pPr>
            <w:r>
              <w:rPr>
                <w:rFonts w:hint="eastAsia"/>
                <w:color w:val="auto"/>
                <w:sz w:val="22"/>
                <w:szCs w:val="22"/>
              </w:rPr>
              <w:t>自动化</w:t>
            </w:r>
            <w:r>
              <w:rPr>
                <w:color w:val="auto"/>
                <w:sz w:val="22"/>
                <w:szCs w:val="22"/>
              </w:rPr>
              <w:t>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adjustRightInd w:val="0"/>
              <w:snapToGrid w:val="0"/>
              <w:jc w:val="center"/>
              <w:rPr>
                <w:rFonts w:hint="default" w:ascii="Times New Roman" w:hAnsi="Times New Roman" w:eastAsia="宋体" w:cs="Times New Roman"/>
                <w:color w:val="auto"/>
                <w:kern w:val="2"/>
                <w:sz w:val="22"/>
                <w:szCs w:val="24"/>
                <w:lang w:val="en-US" w:eastAsia="zh-CN" w:bidi="ar-SA"/>
              </w:rPr>
            </w:pPr>
            <w:r>
              <w:rPr>
                <w:rFonts w:hint="eastAsia"/>
                <w:color w:val="auto"/>
                <w:sz w:val="22"/>
                <w:lang w:val="en-US" w:eastAsia="zh-CN"/>
              </w:rPr>
              <w:t>60130624002</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博士学术活动</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1</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3</w:t>
            </w:r>
          </w:p>
        </w:tc>
        <w:tc>
          <w:tcPr>
            <w:tcW w:w="991" w:type="dxa"/>
            <w:tcMar>
              <w:top w:w="85" w:type="dxa"/>
              <w:left w:w="57" w:type="dxa"/>
              <w:bottom w:w="85" w:type="dxa"/>
              <w:right w:w="57" w:type="dxa"/>
            </w:tcMar>
            <w:vAlign w:val="center"/>
          </w:tcPr>
          <w:p>
            <w:pPr>
              <w:jc w:val="center"/>
              <w:rPr>
                <w:color w:val="auto"/>
              </w:rPr>
            </w:pPr>
            <w:r>
              <w:rPr>
                <w:rFonts w:hint="eastAsia"/>
                <w:color w:val="auto"/>
                <w:sz w:val="22"/>
                <w:szCs w:val="22"/>
              </w:rPr>
              <w:t>自动化</w:t>
            </w:r>
            <w:r>
              <w:rPr>
                <w:color w:val="auto"/>
                <w:sz w:val="22"/>
                <w:szCs w:val="22"/>
              </w:rPr>
              <w:t>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99"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pPr>
              <w:adjustRightInd w:val="0"/>
              <w:snapToGrid w:val="0"/>
              <w:jc w:val="center"/>
              <w:rPr>
                <w:rFonts w:hint="default" w:ascii="Times New Roman" w:hAnsi="Times New Roman" w:eastAsia="宋体" w:cs="Times New Roman"/>
                <w:color w:val="auto"/>
                <w:kern w:val="2"/>
                <w:sz w:val="22"/>
                <w:szCs w:val="24"/>
                <w:lang w:val="en-US" w:eastAsia="zh-CN" w:bidi="ar-SA"/>
              </w:rPr>
            </w:pPr>
            <w:r>
              <w:rPr>
                <w:rFonts w:hint="eastAsia"/>
                <w:color w:val="auto"/>
                <w:sz w:val="22"/>
                <w:lang w:val="en-US" w:eastAsia="zh-CN"/>
              </w:rPr>
              <w:t>60130624003</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博士选题报告</w:t>
            </w:r>
          </w:p>
        </w:tc>
        <w:tc>
          <w:tcPr>
            <w:tcW w:w="56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c>
          <w:tcPr>
            <w:tcW w:w="578"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c>
          <w:tcPr>
            <w:tcW w:w="555"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1</w:t>
            </w:r>
          </w:p>
        </w:tc>
        <w:tc>
          <w:tcPr>
            <w:tcW w:w="710"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r>
              <w:rPr>
                <w:color w:val="auto"/>
                <w:sz w:val="22"/>
                <w:szCs w:val="22"/>
              </w:rPr>
              <w:t>4</w:t>
            </w:r>
          </w:p>
        </w:tc>
        <w:tc>
          <w:tcPr>
            <w:tcW w:w="991" w:type="dxa"/>
            <w:tcMar>
              <w:top w:w="85" w:type="dxa"/>
              <w:left w:w="57" w:type="dxa"/>
              <w:bottom w:w="85" w:type="dxa"/>
              <w:right w:w="57" w:type="dxa"/>
            </w:tcMar>
            <w:vAlign w:val="center"/>
          </w:tcPr>
          <w:p>
            <w:pPr>
              <w:jc w:val="center"/>
              <w:rPr>
                <w:color w:val="auto"/>
              </w:rPr>
            </w:pPr>
            <w:r>
              <w:rPr>
                <w:rFonts w:hint="eastAsia"/>
                <w:color w:val="auto"/>
                <w:sz w:val="22"/>
                <w:szCs w:val="22"/>
              </w:rPr>
              <w:t>自动化</w:t>
            </w:r>
            <w:r>
              <w:rPr>
                <w:color w:val="auto"/>
                <w:sz w:val="22"/>
                <w:szCs w:val="22"/>
              </w:rPr>
              <w:t>学院</w:t>
            </w:r>
          </w:p>
        </w:tc>
        <w:tc>
          <w:tcPr>
            <w:tcW w:w="850" w:type="dxa"/>
            <w:tcMar>
              <w:top w:w="85" w:type="dxa"/>
              <w:left w:w="57" w:type="dxa"/>
              <w:bottom w:w="85" w:type="dxa"/>
              <w:right w:w="57" w:type="dxa"/>
            </w:tcMar>
            <w:vAlign w:val="center"/>
          </w:tcPr>
          <w:p>
            <w:pPr>
              <w:widowControl/>
              <w:autoSpaceDE w:val="0"/>
              <w:autoSpaceDN w:val="0"/>
              <w:adjustRightInd w:val="0"/>
              <w:snapToGrid w:val="0"/>
              <w:jc w:val="center"/>
              <w:rPr>
                <w:color w:val="auto"/>
                <w:sz w:val="22"/>
              </w:rPr>
            </w:pPr>
          </w:p>
        </w:tc>
      </w:tr>
    </w:tbl>
    <w:p>
      <w:pPr>
        <w:keepNext/>
        <w:spacing w:before="156" w:beforeLines="50" w:after="156" w:afterLines="50"/>
        <w:outlineLvl w:val="2"/>
        <w:rPr>
          <w:b/>
          <w:sz w:val="24"/>
          <w:lang w:val="zh-CN"/>
        </w:rPr>
      </w:pPr>
      <w:r>
        <w:rPr>
          <w:b/>
          <w:sz w:val="24"/>
          <w:lang w:val="zh-CN"/>
        </w:rPr>
        <w:t>五、必修环节</w:t>
      </w:r>
      <w:bookmarkEnd w:id="8"/>
    </w:p>
    <w:p>
      <w:pPr>
        <w:adjustRightInd w:val="0"/>
        <w:snapToGrid w:val="0"/>
        <w:spacing w:line="420" w:lineRule="exact"/>
        <w:ind w:firstLine="480" w:firstLineChars="200"/>
        <w:rPr>
          <w:sz w:val="24"/>
        </w:rPr>
      </w:pPr>
      <w:r>
        <w:rPr>
          <w:sz w:val="24"/>
        </w:rPr>
        <w:t xml:space="preserve">（一）实践环节的基本类型 </w:t>
      </w:r>
    </w:p>
    <w:p>
      <w:pPr>
        <w:adjustRightInd w:val="0"/>
        <w:snapToGrid w:val="0"/>
        <w:spacing w:line="420" w:lineRule="exact"/>
        <w:ind w:firstLine="480" w:firstLineChars="200"/>
        <w:rPr>
          <w:sz w:val="24"/>
        </w:rPr>
      </w:pPr>
      <w:r>
        <w:rPr>
          <w:sz w:val="24"/>
        </w:rPr>
        <w:t>1．社会实践</w:t>
      </w:r>
    </w:p>
    <w:p>
      <w:pPr>
        <w:adjustRightInd w:val="0"/>
        <w:snapToGrid w:val="0"/>
        <w:spacing w:line="420" w:lineRule="exact"/>
        <w:ind w:firstLine="480" w:firstLineChars="200"/>
        <w:rPr>
          <w:sz w:val="24"/>
        </w:rPr>
      </w:pPr>
      <w:r>
        <w:rPr>
          <w:rFonts w:hint="eastAsia"/>
          <w:sz w:val="24"/>
        </w:rPr>
        <w:t>学术学位</w:t>
      </w:r>
      <w:r>
        <w:rPr>
          <w:sz w:val="24"/>
        </w:rPr>
        <w:t>博士研究生可以通过组织和参与社会调查、支教、扶贫及其他志愿者服务等方式进行实践活动，提倡以小组或团队形式开展，累计不少于15个工作日。</w:t>
      </w:r>
    </w:p>
    <w:p>
      <w:pPr>
        <w:adjustRightInd w:val="0"/>
        <w:snapToGrid w:val="0"/>
        <w:spacing w:line="420" w:lineRule="exact"/>
        <w:ind w:firstLine="480" w:firstLineChars="200"/>
        <w:rPr>
          <w:sz w:val="24"/>
        </w:rPr>
      </w:pPr>
      <w:r>
        <w:rPr>
          <w:rFonts w:hint="eastAsia"/>
          <w:sz w:val="24"/>
        </w:rPr>
        <w:t>学术学位</w:t>
      </w:r>
      <w:r>
        <w:rPr>
          <w:sz w:val="24"/>
        </w:rPr>
        <w:t>博士研究生完成“社会实践”活动后，需撰写不少于3000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adjustRightInd w:val="0"/>
        <w:snapToGrid w:val="0"/>
        <w:spacing w:line="420" w:lineRule="exact"/>
        <w:ind w:firstLine="480" w:firstLineChars="200"/>
        <w:rPr>
          <w:sz w:val="24"/>
        </w:rPr>
      </w:pPr>
      <w:r>
        <w:rPr>
          <w:sz w:val="24"/>
        </w:rPr>
        <w:t>2．助研、助教</w:t>
      </w:r>
    </w:p>
    <w:p>
      <w:pPr>
        <w:adjustRightInd w:val="0"/>
        <w:snapToGrid w:val="0"/>
        <w:spacing w:line="420" w:lineRule="exact"/>
        <w:ind w:firstLine="480" w:firstLineChars="200"/>
        <w:rPr>
          <w:sz w:val="24"/>
        </w:rPr>
      </w:pPr>
      <w:r>
        <w:rPr>
          <w:rFonts w:hint="eastAsia"/>
          <w:sz w:val="24"/>
        </w:rPr>
        <w:t>学术学位</w:t>
      </w:r>
      <w:r>
        <w:rPr>
          <w:sz w:val="24"/>
        </w:rPr>
        <w:t>博士研究生担任助教或助研工作，其目的是培养研究生的综合能力，是研究生培养过程的有机组成部分。完成至少一个标准岗位的助教或助研工作通过后记1学分。</w:t>
      </w:r>
    </w:p>
    <w:p>
      <w:pPr>
        <w:adjustRightInd w:val="0"/>
        <w:snapToGrid w:val="0"/>
        <w:spacing w:line="420" w:lineRule="exact"/>
        <w:ind w:firstLine="480" w:firstLineChars="200"/>
        <w:rPr>
          <w:sz w:val="24"/>
        </w:rPr>
      </w:pPr>
      <w:r>
        <w:rPr>
          <w:sz w:val="24"/>
        </w:rPr>
        <w:t>研究生担任助研、助教的相关要求和考核办法等参照学校研究生“三助”工作有关规定执行。</w:t>
      </w:r>
    </w:p>
    <w:p>
      <w:pPr>
        <w:adjustRightInd w:val="0"/>
        <w:snapToGrid w:val="0"/>
        <w:spacing w:line="420" w:lineRule="exact"/>
        <w:ind w:firstLine="480" w:firstLineChars="200"/>
        <w:rPr>
          <w:sz w:val="24"/>
        </w:rPr>
      </w:pPr>
      <w:r>
        <w:rPr>
          <w:sz w:val="24"/>
        </w:rPr>
        <w:t>3．基金申请书撰写</w:t>
      </w:r>
    </w:p>
    <w:p>
      <w:pPr>
        <w:adjustRightInd w:val="0"/>
        <w:snapToGrid w:val="0"/>
        <w:spacing w:line="420" w:lineRule="exact"/>
        <w:ind w:firstLine="480" w:firstLineChars="200"/>
        <w:rPr>
          <w:sz w:val="24"/>
        </w:rPr>
      </w:pPr>
      <w:r>
        <w:rPr>
          <w:rFonts w:hint="eastAsia"/>
          <w:sz w:val="24"/>
        </w:rPr>
        <w:t>学术学位</w:t>
      </w:r>
      <w:r>
        <w:rPr>
          <w:sz w:val="24"/>
        </w:rPr>
        <w:t>博士研究生在导师指导下完成一篇国家科研基金的申请书及30分钟汇报PPT，经指导教师（小组）检查、评阅后，合格者记1学分。</w:t>
      </w:r>
    </w:p>
    <w:p>
      <w:pPr>
        <w:adjustRightInd w:val="0"/>
        <w:snapToGrid w:val="0"/>
        <w:spacing w:line="420" w:lineRule="exact"/>
        <w:ind w:firstLine="480" w:firstLineChars="200"/>
        <w:rPr>
          <w:sz w:val="24"/>
        </w:rPr>
      </w:pPr>
      <w:r>
        <w:rPr>
          <w:sz w:val="24"/>
        </w:rPr>
        <w:t>4．国际交流</w:t>
      </w:r>
    </w:p>
    <w:p>
      <w:pPr>
        <w:adjustRightInd w:val="0"/>
        <w:snapToGrid w:val="0"/>
        <w:spacing w:line="420" w:lineRule="exact"/>
        <w:ind w:firstLine="480" w:firstLineChars="200"/>
        <w:rPr>
          <w:sz w:val="24"/>
        </w:rPr>
      </w:pPr>
      <w:r>
        <w:rPr>
          <w:rFonts w:hint="eastAsia"/>
          <w:sz w:val="24"/>
        </w:rPr>
        <w:t>学术学位</w:t>
      </w:r>
      <w:r>
        <w:rPr>
          <w:sz w:val="24"/>
        </w:rPr>
        <w:t>博士研究生在读期间，通过各类项目赴境外高校、科研机构学习、交流合作（不少于3个月），或参加一次境外国际学术会议并做口头报告。学院审核通过后记1学分。</w:t>
      </w:r>
    </w:p>
    <w:p>
      <w:pPr>
        <w:spacing w:line="400" w:lineRule="exact"/>
        <w:ind w:firstLine="480" w:firstLineChars="200"/>
        <w:rPr>
          <w:sz w:val="24"/>
        </w:rPr>
      </w:pPr>
      <w:r>
        <w:rPr>
          <w:rFonts w:hint="eastAsia"/>
          <w:sz w:val="24"/>
        </w:rPr>
        <w:t>5．实验室</w:t>
      </w:r>
      <w:r>
        <w:rPr>
          <w:sz w:val="24"/>
        </w:rPr>
        <w:t>安全培训</w:t>
      </w:r>
      <w:r>
        <w:rPr>
          <w:rFonts w:hint="eastAsia"/>
          <w:sz w:val="24"/>
        </w:rPr>
        <w:t>（必选）</w:t>
      </w:r>
    </w:p>
    <w:p>
      <w:pPr>
        <w:spacing w:line="400" w:lineRule="exact"/>
        <w:ind w:firstLine="480" w:firstLineChars="20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1学分</w:t>
      </w:r>
      <w:r>
        <w:rPr>
          <w:sz w:val="24"/>
        </w:rPr>
        <w:t>。</w:t>
      </w:r>
    </w:p>
    <w:p>
      <w:pPr>
        <w:adjustRightInd w:val="0"/>
        <w:snapToGrid w:val="0"/>
        <w:spacing w:line="420" w:lineRule="exact"/>
        <w:ind w:firstLine="480" w:firstLineChars="200"/>
        <w:rPr>
          <w:sz w:val="24"/>
        </w:rPr>
      </w:pPr>
      <w:r>
        <w:rPr>
          <w:rFonts w:hint="eastAsia"/>
          <w:sz w:val="24"/>
        </w:rPr>
        <w:t>※</w:t>
      </w:r>
      <w:r>
        <w:rPr>
          <w:sz w:val="24"/>
        </w:rPr>
        <w:t xml:space="preserve"> 定向培养学术学位博士研究生、来华留学生可免修实践环节，但不记学分，所缺学分必须通过选修课程补齐。</w:t>
      </w:r>
    </w:p>
    <w:p>
      <w:pPr>
        <w:adjustRightInd w:val="0"/>
        <w:snapToGrid w:val="0"/>
        <w:spacing w:line="420" w:lineRule="exact"/>
        <w:ind w:firstLine="480" w:firstLineChars="200"/>
        <w:rPr>
          <w:sz w:val="24"/>
        </w:rPr>
      </w:pPr>
      <w:r>
        <w:rPr>
          <w:sz w:val="24"/>
        </w:rPr>
        <w:t>（二）学术活动</w:t>
      </w:r>
    </w:p>
    <w:p>
      <w:pPr>
        <w:adjustRightInd w:val="0"/>
        <w:snapToGrid w:val="0"/>
        <w:spacing w:line="420" w:lineRule="exact"/>
        <w:ind w:firstLine="480" w:firstLineChars="200"/>
        <w:rPr>
          <w:sz w:val="24"/>
        </w:rPr>
      </w:pPr>
      <w:r>
        <w:rPr>
          <w:sz w:val="24"/>
        </w:rPr>
        <w:t>为了促使学术学位博士研究生能主动关心和了解国内外本学科前沿的发展动态，开阔视野，启发创造力，要求每个学术学位博士</w:t>
      </w:r>
      <w:bookmarkStart w:id="12" w:name="_GoBack"/>
      <w:bookmarkEnd w:id="12"/>
      <w:r>
        <w:rPr>
          <w:sz w:val="24"/>
        </w:rPr>
        <w:t>研究生应公开做学术报告至少2次，参加学术报告至少10次，且每次参加学术活动必须写出500字以上的心得。经指导教师（小组）检查、审核，完成者在必修环节记1个学分。</w:t>
      </w:r>
    </w:p>
    <w:p>
      <w:pPr>
        <w:adjustRightInd w:val="0"/>
        <w:snapToGrid w:val="0"/>
        <w:spacing w:line="420" w:lineRule="exact"/>
        <w:ind w:firstLine="480" w:firstLineChars="200"/>
        <w:rPr>
          <w:sz w:val="24"/>
        </w:rPr>
      </w:pPr>
      <w:r>
        <w:rPr>
          <w:sz w:val="24"/>
        </w:rPr>
        <w:t>（三）选题报告</w:t>
      </w:r>
    </w:p>
    <w:p>
      <w:pPr>
        <w:autoSpaceDE w:val="0"/>
        <w:autoSpaceDN w:val="0"/>
        <w:adjustRightInd w:val="0"/>
        <w:spacing w:line="400" w:lineRule="exact"/>
        <w:ind w:firstLine="480" w:firstLineChars="200"/>
        <w:rPr>
          <w:kern w:val="0"/>
          <w:sz w:val="24"/>
        </w:rPr>
      </w:pPr>
      <w:r>
        <w:rPr>
          <w:rFonts w:hint="eastAsia"/>
          <w:kern w:val="0"/>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autoSpaceDE w:val="0"/>
        <w:autoSpaceDN w:val="0"/>
        <w:adjustRightInd w:val="0"/>
        <w:spacing w:line="400" w:lineRule="exact"/>
        <w:ind w:firstLine="480" w:firstLineChars="200"/>
        <w:rPr>
          <w:sz w:val="24"/>
        </w:rPr>
      </w:pPr>
      <w:r>
        <w:rPr>
          <w:rFonts w:hint="eastAsia"/>
          <w:kern w:val="0"/>
          <w:sz w:val="24"/>
        </w:rPr>
        <w:t>学术学位博士</w:t>
      </w:r>
      <w:r>
        <w:rPr>
          <w:sz w:val="24"/>
        </w:rPr>
        <w:t>研究生选题报告的具体要求，按照学校研究生开题管理有关规定要求执行。选题报告通过后记1个必修环节学分。</w:t>
      </w:r>
    </w:p>
    <w:p>
      <w:pPr>
        <w:keepNext/>
        <w:spacing w:before="156" w:beforeLines="50" w:after="156" w:afterLines="50" w:line="420" w:lineRule="exact"/>
        <w:outlineLvl w:val="2"/>
        <w:rPr>
          <w:b/>
          <w:sz w:val="24"/>
          <w:lang w:val="zh-CN"/>
        </w:rPr>
      </w:pPr>
      <w:bookmarkStart w:id="9" w:name="_Toc28519"/>
      <w:r>
        <w:rPr>
          <w:b/>
          <w:sz w:val="24"/>
          <w:lang w:val="zh-CN"/>
        </w:rPr>
        <w:t>六、科学研究与学位论文</w:t>
      </w:r>
      <w:bookmarkEnd w:id="9"/>
    </w:p>
    <w:p>
      <w:pPr>
        <w:adjustRightInd w:val="0"/>
        <w:snapToGrid w:val="0"/>
        <w:spacing w:line="420" w:lineRule="exact"/>
        <w:ind w:firstLine="480" w:firstLineChars="200"/>
        <w:rPr>
          <w:sz w:val="24"/>
        </w:rPr>
      </w:pPr>
      <w:r>
        <w:rPr>
          <w:sz w:val="24"/>
        </w:rPr>
        <w:t>（一）科学研究</w:t>
      </w:r>
    </w:p>
    <w:p>
      <w:pPr>
        <w:adjustRightInd w:val="0"/>
        <w:snapToGrid w:val="0"/>
        <w:spacing w:line="400" w:lineRule="exact"/>
        <w:ind w:firstLine="480" w:firstLineChars="200"/>
        <w:rPr>
          <w:sz w:val="24"/>
        </w:rPr>
      </w:pPr>
      <w:r>
        <w:rPr>
          <w:sz w:val="24"/>
        </w:rPr>
        <w:t>学术学位</w:t>
      </w:r>
      <w:r>
        <w:rPr>
          <w:rFonts w:hint="eastAsia"/>
          <w:sz w:val="24"/>
        </w:rPr>
        <w:t>博士研究生必须在导师的指导下，依托相应的科研项目、科研条件和科研设施，开展科研工作，进行科研实践，培养独立进行科学研究的能力或独立承担专门技术工作的能力。</w:t>
      </w:r>
    </w:p>
    <w:p>
      <w:pPr>
        <w:adjustRightInd w:val="0"/>
        <w:snapToGrid w:val="0"/>
        <w:spacing w:line="420" w:lineRule="exact"/>
        <w:ind w:firstLine="480" w:firstLineChars="200"/>
        <w:rPr>
          <w:sz w:val="24"/>
        </w:rPr>
      </w:pPr>
      <w:r>
        <w:rPr>
          <w:sz w:val="24"/>
        </w:rPr>
        <w:t>（二）学位论文</w:t>
      </w:r>
    </w:p>
    <w:p>
      <w:pPr>
        <w:adjustRightInd w:val="0"/>
        <w:snapToGrid w:val="0"/>
        <w:spacing w:line="420" w:lineRule="exact"/>
        <w:ind w:firstLine="480" w:firstLineChars="200"/>
        <w:rPr>
          <w:sz w:val="24"/>
        </w:rPr>
      </w:pPr>
      <w:r>
        <w:rPr>
          <w:sz w:val="24"/>
        </w:rPr>
        <w:t>博士学位论文的撰写</w:t>
      </w:r>
      <w:r>
        <w:rPr>
          <w:rFonts w:hint="eastAsia"/>
          <w:sz w:val="24"/>
        </w:rPr>
        <w:t>是</w:t>
      </w:r>
      <w:r>
        <w:rPr>
          <w:rFonts w:hint="eastAsia"/>
          <w:sz w:val="24"/>
          <w:lang w:val="zh-CN"/>
        </w:rPr>
        <w:t>交通运输工程（硕士起点）</w:t>
      </w:r>
      <w:r>
        <w:rPr>
          <w:rFonts w:hint="eastAsia"/>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lang w:val="zh-CN"/>
        </w:rPr>
        <w:t>交通运输工程（硕士起点）</w:t>
      </w:r>
      <w:r>
        <w:rPr>
          <w:rFonts w:hint="eastAsia"/>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pPr>
        <w:adjustRightInd w:val="0"/>
        <w:snapToGrid w:val="0"/>
        <w:spacing w:line="420" w:lineRule="exact"/>
        <w:ind w:firstLine="480" w:firstLineChars="200"/>
        <w:rPr>
          <w:sz w:val="24"/>
        </w:rPr>
      </w:pPr>
      <w:r>
        <w:rPr>
          <w:rFonts w:hint="eastAsia"/>
          <w:sz w:val="24"/>
          <w:lang w:val="zh-CN"/>
        </w:rPr>
        <w:t>交通运输工程（硕士起点）</w:t>
      </w:r>
      <w:r>
        <w:rPr>
          <w:rFonts w:hint="eastAsia"/>
          <w:sz w:val="24"/>
        </w:rPr>
        <w:t>学术学位博士研究生在博士学位论文送审前，须满足取得学籍当年学校申请博士学位学术成果有关规定和交通物流学院学位与研究生教育有关规定，方可送审。</w:t>
      </w:r>
    </w:p>
    <w:p>
      <w:pPr>
        <w:adjustRightInd w:val="0"/>
        <w:snapToGrid w:val="0"/>
        <w:spacing w:line="420" w:lineRule="exact"/>
        <w:ind w:firstLine="480" w:firstLineChars="200"/>
        <w:rPr>
          <w:sz w:val="24"/>
        </w:rPr>
      </w:pPr>
      <w:r>
        <w:rPr>
          <w:rFonts w:hint="eastAsia"/>
          <w:sz w:val="24"/>
          <w:lang w:val="zh-CN"/>
        </w:rPr>
        <w:t>交通运输工程（硕士起点）</w:t>
      </w:r>
      <w:r>
        <w:rPr>
          <w:rFonts w:hint="eastAsia"/>
          <w:sz w:val="24"/>
        </w:rPr>
        <w:t>学术学位博士研究生在博士学位论文答辩前，须达到学校研究生学位论文答辩管理办法有关要求，方可答辩。</w:t>
      </w:r>
    </w:p>
    <w:p>
      <w:pPr>
        <w:adjustRightInd w:val="0"/>
        <w:snapToGrid w:val="0"/>
        <w:spacing w:line="420" w:lineRule="exact"/>
        <w:ind w:firstLine="480" w:firstLineChars="200"/>
        <w:rPr>
          <w:sz w:val="24"/>
        </w:rPr>
      </w:pPr>
      <w:r>
        <w:rPr>
          <w:rFonts w:hint="eastAsia"/>
          <w:sz w:val="24"/>
        </w:rPr>
        <w:t>※ 未尽事宜以研究生取得学籍当年武汉理工大学《研究生手册》和交通物流学院学位与研究生教育有关规定为准</w:t>
      </w:r>
      <w:r>
        <w:rPr>
          <w:sz w:val="24"/>
        </w:rPr>
        <w:t>。</w:t>
      </w:r>
    </w:p>
    <w:p>
      <w:pPr>
        <w:keepNext/>
        <w:spacing w:before="156" w:beforeLines="50" w:after="156" w:afterLines="50" w:line="420" w:lineRule="exact"/>
        <w:outlineLvl w:val="2"/>
        <w:rPr>
          <w:b/>
          <w:sz w:val="24"/>
          <w:lang w:val="zh-CN"/>
        </w:rPr>
      </w:pPr>
      <w:bookmarkStart w:id="10" w:name="_Toc32246"/>
      <w:r>
        <w:rPr>
          <w:b/>
          <w:sz w:val="24"/>
          <w:lang w:val="zh-CN"/>
        </w:rPr>
        <w:t>七、培养方式与方法</w:t>
      </w:r>
      <w:bookmarkEnd w:id="10"/>
    </w:p>
    <w:p>
      <w:pPr>
        <w:adjustRightInd w:val="0"/>
        <w:snapToGrid w:val="0"/>
        <w:spacing w:line="420" w:lineRule="exact"/>
        <w:ind w:firstLine="480" w:firstLineChars="200"/>
        <w:rPr>
          <w:sz w:val="24"/>
        </w:rPr>
      </w:pPr>
      <w:r>
        <w:rPr>
          <w:sz w:val="24"/>
        </w:rPr>
        <w:t>交通运输工程学术学位博士研究生的培养采取导师负责制或以导师为主的指导小组的指导方法，培养方式应灵活多样，更多地采取启发式、研讨式的教学方式，充分发挥指导教师的主导作用。</w:t>
      </w:r>
    </w:p>
    <w:p>
      <w:pPr>
        <w:adjustRightInd w:val="0"/>
        <w:snapToGrid w:val="0"/>
        <w:spacing w:line="420" w:lineRule="exact"/>
        <w:ind w:firstLine="480" w:firstLineChars="200"/>
        <w:rPr>
          <w:sz w:val="24"/>
        </w:rPr>
      </w:pPr>
      <w:r>
        <w:rPr>
          <w:sz w:val="24"/>
        </w:rPr>
        <w:t>积极探索交叉学科研究生团队指导模式改革，组建跨单位跨学科的研究生导师团队，打造多学科交叉融合的课程体系，培养科学化、系统化理论知识与实践深度融合的学科交叉人才。</w:t>
      </w:r>
    </w:p>
    <w:p>
      <w:pPr>
        <w:adjustRightInd w:val="0"/>
        <w:snapToGrid w:val="0"/>
        <w:spacing w:line="420" w:lineRule="exact"/>
        <w:ind w:firstLine="480" w:firstLineChars="200"/>
        <w:rPr>
          <w:sz w:val="24"/>
        </w:rPr>
      </w:pPr>
      <w:r>
        <w:rPr>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pPr>
        <w:keepNext/>
        <w:spacing w:before="156" w:beforeLines="50" w:after="156" w:afterLines="50" w:line="420" w:lineRule="exact"/>
        <w:outlineLvl w:val="2"/>
        <w:rPr>
          <w:b/>
          <w:sz w:val="24"/>
          <w:lang w:val="zh-CN"/>
        </w:rPr>
      </w:pPr>
      <w:bookmarkStart w:id="11" w:name="_Toc22693"/>
      <w:r>
        <w:rPr>
          <w:b/>
          <w:sz w:val="24"/>
          <w:lang w:val="zh-CN"/>
        </w:rPr>
        <w:t>八、其它</w:t>
      </w:r>
      <w:bookmarkEnd w:id="11"/>
    </w:p>
    <w:p>
      <w:pPr>
        <w:adjustRightInd w:val="0"/>
        <w:snapToGrid w:val="0"/>
        <w:spacing w:line="420" w:lineRule="exact"/>
        <w:ind w:firstLine="480" w:firstLineChars="200"/>
        <w:rPr>
          <w:sz w:val="24"/>
        </w:rPr>
      </w:pPr>
      <w:r>
        <w:rPr>
          <w:sz w:val="24"/>
        </w:rPr>
        <w:t>（一）提前攻读交通运输工程学术学位</w:t>
      </w:r>
      <w:r>
        <w:rPr>
          <w:rFonts w:hint="eastAsia"/>
          <w:sz w:val="24"/>
        </w:rPr>
        <w:t>的</w:t>
      </w:r>
      <w:r>
        <w:rPr>
          <w:sz w:val="24"/>
        </w:rPr>
        <w:t>博士研究生在修完本专业硕士学位研究生培养方案规定的课程后，按硕士起点的学术学位博士研究生培养方案培养。</w:t>
      </w:r>
    </w:p>
    <w:p>
      <w:pPr>
        <w:autoSpaceDE w:val="0"/>
        <w:autoSpaceDN w:val="0"/>
        <w:adjustRightInd w:val="0"/>
        <w:spacing w:line="400" w:lineRule="exact"/>
        <w:ind w:firstLine="480" w:firstLineChars="200"/>
        <w:rPr>
          <w:kern w:val="0"/>
          <w:sz w:val="24"/>
        </w:rPr>
      </w:pPr>
      <w:r>
        <w:rPr>
          <w:sz w:val="24"/>
        </w:rPr>
        <w:t>（二）交通运输工程学术学位博士研究生</w:t>
      </w:r>
      <w:r>
        <w:rPr>
          <w:rFonts w:hint="eastAsia"/>
          <w:kern w:val="0"/>
          <w:sz w:val="24"/>
        </w:rPr>
        <w:t>开题前后均可选修课程，申请学位论文答辩前须修完全部学分要求课程。</w:t>
      </w:r>
    </w:p>
    <w:p>
      <w:pPr>
        <w:adjustRightInd w:val="0"/>
        <w:snapToGrid w:val="0"/>
        <w:spacing w:line="420" w:lineRule="exact"/>
        <w:ind w:firstLine="480" w:firstLineChars="200"/>
        <w:rPr>
          <w:sz w:val="24"/>
        </w:rPr>
      </w:pPr>
      <w:r>
        <w:rPr>
          <w:sz w:val="24"/>
        </w:rPr>
        <w:t>（三）交通运输工程学术学位博士研究生在学期间应查阅本学科国内外文献80篇以上，其中外文文献不少于三分之一。</w:t>
      </w:r>
    </w:p>
    <w:p>
      <w:pPr>
        <w:adjustRightInd w:val="0"/>
        <w:snapToGrid w:val="0"/>
        <w:spacing w:line="420" w:lineRule="exact"/>
        <w:ind w:firstLine="480" w:firstLineChars="200"/>
        <w:rPr>
          <w:sz w:val="24"/>
        </w:rPr>
      </w:pPr>
      <w:r>
        <w:rPr>
          <w:sz w:val="24"/>
        </w:rPr>
        <w:t>（四）交通运输工程学术学位博士研究生在课程学习阶段每月至少1次、论文工作阶段</w:t>
      </w:r>
      <w:r>
        <w:rPr>
          <w:rFonts w:hint="eastAsia"/>
          <w:kern w:val="0"/>
          <w:sz w:val="24"/>
        </w:rPr>
        <w:t>每月</w:t>
      </w:r>
      <w:r>
        <w:rPr>
          <w:kern w:val="0"/>
          <w:sz w:val="24"/>
        </w:rPr>
        <w:t>至少</w:t>
      </w:r>
      <w:r>
        <w:rPr>
          <w:sz w:val="24"/>
        </w:rPr>
        <w:t>2次向指导教师汇报自己的学习和研究工作情况，</w:t>
      </w:r>
      <w:r>
        <w:rPr>
          <w:rFonts w:hint="eastAsia"/>
          <w:kern w:val="0"/>
          <w:sz w:val="24"/>
        </w:rPr>
        <w:t>并</w:t>
      </w:r>
      <w:r>
        <w:rPr>
          <w:sz w:val="24"/>
        </w:rPr>
        <w:t>形成制度。</w:t>
      </w:r>
    </w:p>
    <w:p>
      <w:pPr>
        <w:adjustRightInd w:val="0"/>
        <w:snapToGrid w:val="0"/>
        <w:spacing w:line="420" w:lineRule="exact"/>
        <w:ind w:firstLine="480" w:firstLineChars="200"/>
        <w:rPr>
          <w:sz w:val="24"/>
        </w:rPr>
      </w:pPr>
      <w:r>
        <w:rPr>
          <w:sz w:val="24"/>
        </w:rPr>
        <w:t>（五）全日制、非全日制研究生适用同一培养方案。</w:t>
      </w:r>
    </w:p>
    <w:p>
      <w:pPr>
        <w:adjustRightInd w:val="0"/>
        <w:snapToGrid w:val="0"/>
        <w:spacing w:line="420" w:lineRule="exact"/>
        <w:ind w:firstLine="480" w:firstLineChars="200"/>
        <w:rPr>
          <w:sz w:val="24"/>
        </w:rPr>
      </w:pPr>
      <w:r>
        <w:rPr>
          <w:sz w:val="24"/>
        </w:rPr>
        <w:t>（六）本次制订培养方</w:t>
      </w:r>
      <w:r>
        <w:rPr>
          <w:color w:val="auto"/>
          <w:sz w:val="24"/>
        </w:rPr>
        <w:t>案从</w:t>
      </w:r>
      <w:r>
        <w:rPr>
          <w:rFonts w:hint="eastAsia"/>
          <w:color w:val="auto"/>
          <w:sz w:val="24"/>
        </w:rPr>
        <w:t>202</w:t>
      </w:r>
      <w:r>
        <w:rPr>
          <w:color w:val="auto"/>
          <w:sz w:val="24"/>
        </w:rPr>
        <w:t>4级交通运</w:t>
      </w:r>
      <w:r>
        <w:rPr>
          <w:sz w:val="24"/>
        </w:rPr>
        <w:t>输工程学术学位博士研究生开始执行。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00087322"/>
    <w:rsid w:val="00087322"/>
    <w:rsid w:val="000E3546"/>
    <w:rsid w:val="00114C31"/>
    <w:rsid w:val="001167F8"/>
    <w:rsid w:val="00523E7F"/>
    <w:rsid w:val="00646641"/>
    <w:rsid w:val="00681B21"/>
    <w:rsid w:val="00974DCF"/>
    <w:rsid w:val="00A15EF0"/>
    <w:rsid w:val="00A52126"/>
    <w:rsid w:val="00BD5F98"/>
    <w:rsid w:val="078E157A"/>
    <w:rsid w:val="0D5562B4"/>
    <w:rsid w:val="114C4A84"/>
    <w:rsid w:val="2A7479A7"/>
    <w:rsid w:val="380C2ECE"/>
    <w:rsid w:val="38334655"/>
    <w:rsid w:val="3AE7694B"/>
    <w:rsid w:val="54D800BD"/>
    <w:rsid w:val="58BB34AE"/>
    <w:rsid w:val="6A9A7488"/>
    <w:rsid w:val="6E252B86"/>
    <w:rsid w:val="75190959"/>
    <w:rsid w:val="76F75DBA"/>
    <w:rsid w:val="7B363955"/>
    <w:rsid w:val="7FFE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annotation reference"/>
    <w:qFormat/>
    <w:uiPriority w:val="99"/>
    <w:rPr>
      <w:sz w:val="21"/>
      <w:szCs w:val="21"/>
    </w:rPr>
  </w:style>
  <w:style w:type="paragraph" w:customStyle="1" w:styleId="8">
    <w:name w:val="m_正文"/>
    <w:basedOn w:val="1"/>
    <w:qFormat/>
    <w:uiPriority w:val="0"/>
    <w:pPr>
      <w:spacing w:line="360" w:lineRule="auto"/>
    </w:pPr>
    <w:rPr>
      <w:kern w:val="0"/>
      <w:sz w:val="24"/>
    </w:rPr>
  </w:style>
  <w:style w:type="paragraph" w:customStyle="1" w:styleId="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0">
    <w:name w:val="页眉 字符"/>
    <w:basedOn w:val="6"/>
    <w:link w:val="4"/>
    <w:qFormat/>
    <w:uiPriority w:val="0"/>
    <w:rPr>
      <w:kern w:val="2"/>
      <w:sz w:val="18"/>
      <w:szCs w:val="18"/>
    </w:rPr>
  </w:style>
  <w:style w:type="character" w:customStyle="1" w:styleId="11">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4161</Words>
  <Characters>4749</Characters>
  <Lines>38</Lines>
  <Paragraphs>10</Paragraphs>
  <TotalTime>13</TotalTime>
  <ScaleCrop>false</ScaleCrop>
  <LinksUpToDate>false</LinksUpToDate>
  <CharactersWithSpaces>4752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2022-09-01T07:18:00Z</dcterms:created>
  <dc:creator>Administrator</dc:creator>
  <cp:lastModifiedBy>Administrator</cp:lastModifiedBy>
  <dcterms:modified xsi:type="dcterms:W3CDTF">2024-06-25T00:24:33Z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E6F4AB70C29C410BA0324A23E6299C1C</vt:lpwstr>
  </property>
</Properties>
</file>